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after="0"/>
      </w:pPr>
      <w:r>
        <w:t xml:space="preserve">[Наименование учредителя]</w:t>
      </w:r>
    </w:p>
    <w:p>
      <w:pPr>
        <w:jc w:val="center"/>
        <w:spacing w:after="480"/>
      </w:pPr>
      <w:r>
        <w:rPr>
          <w:b/>
        </w:rPr>
        <w:t xml:space="preserve">[Наименование образовательной организации в соответствии с уставом]</w:t>
      </w:r>
    </w:p>
    <w:tbl>
      <w:tblPr>
        <w:tblW w:w="9355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4677"/>
        <w:gridCol w:w="4678"/>
      </w:tblGrid>
      <w:tr>
        <w:tc>
          <w:tcPr>
            <w:tcW w:w="4677" w:type="dxa"/>
          </w:tcPr>
          <w:p>
            <w:pPr>
              <w:spacing w:after="0"/>
            </w:pPr>
            <w:r>
              <w:rPr>
                <w:b/>
              </w:rPr>
              <w:t xml:space="preserve">РАССМОТРЕНА</w:t>
            </w:r>
          </w:p>
          <w:p>
            <w:pPr>
              <w:spacing w:after="0"/>
            </w:pPr>
            <w:r>
              <w:t xml:space="preserve">на заседании педагогического (методического) совета</w:t>
            </w:r>
          </w:p>
          <w:p>
            <w:pPr>
              <w:spacing w:after="0"/>
            </w:pPr>
            <w:r>
              <w:t xml:space="preserve">Протокол от «__» ______ 20__ г. № __</w:t>
            </w:r>
          </w:p>
        </w:tc>
        <w:tc>
          <w:tcPr>
            <w:tcW w:w="4678" w:type="dxa"/>
          </w:tcPr>
          <w:p>
            <w:pPr>
              <w:spacing w:after="0"/>
            </w:pPr>
            <w:r>
              <w:rPr>
                <w:b/>
              </w:rPr>
              <w:t xml:space="preserve">УТВЕРЖДАЮ</w:t>
            </w:r>
          </w:p>
          <w:p>
            <w:pPr>
              <w:spacing w:after="0"/>
            </w:pPr>
            <w:r>
              <w:t xml:space="preserve">Руководитель организации</w:t>
            </w:r>
          </w:p>
          <w:p>
            <w:pPr>
              <w:spacing w:after="0"/>
            </w:pPr>
            <w:r>
              <w:t xml:space="preserve">_____________ / ______________</w:t>
            </w:r>
          </w:p>
          <w:p>
            <w:pPr>
              <w:spacing w:after="0"/>
            </w:pPr>
            <w:r>
              <w:t xml:space="preserve">Приказ от «__» ______ 20__ г. № __</w:t>
            </w:r>
          </w:p>
        </w:tc>
      </w:tr>
    </w:tbl>
    <w:p>
      <w:pPr>
        <w:spacing w:before="1800" w:after="0"/>
      </w:pPr>
    </w:p>
    <w:p>
      <w:pPr>
        <w:jc w:val="center"/>
        <w:spacing w:after="120"/>
      </w:pPr>
      <w:r>
        <w:rPr>
          <w:b/>
          <w:sz w:val="28"/>
        </w:rPr>
        <w:t xml:space="preserve">Дополнительная общеобразовательная общеразвивающая программа</w:t>
      </w:r>
    </w:p>
    <w:p>
      <w:pPr>
        <w:jc w:val="center"/>
        <w:spacing w:after="720"/>
      </w:pPr>
      <w:r>
        <w:rPr>
          <w:b/>
          <w:sz w:val="36"/>
        </w:rPr>
        <w:t xml:space="preserve">«Основы робототехники»</w:t>
      </w:r>
    </w:p>
    <w:p>
      <w:pPr>
        <w:ind w:left="4536"/>
        <w:spacing w:after="60"/>
      </w:pPr>
      <w:r>
        <w:rPr>
          <w:b/>
        </w:rPr>
        <w:t xml:space="preserve">Направленность: </w:t>
      </w:r>
      <w:r>
        <w:t xml:space="preserve">техническая</w:t>
      </w:r>
    </w:p>
    <w:p>
      <w:pPr>
        <w:ind w:left="4536"/>
        <w:spacing w:after="60"/>
      </w:pPr>
      <w:r>
        <w:rPr>
          <w:b/>
        </w:rPr>
        <w:t xml:space="preserve">Уровень: </w:t>
      </w:r>
      <w:r>
        <w:t xml:space="preserve">базовый</w:t>
      </w:r>
    </w:p>
    <w:p>
      <w:pPr>
        <w:ind w:left="4536"/>
        <w:spacing w:after="60"/>
      </w:pPr>
      <w:r>
        <w:rPr>
          <w:b/>
        </w:rPr>
        <w:t xml:space="preserve">Возраст обучающихся: </w:t>
      </w:r>
      <w:r>
        <w:t xml:space="preserve">10–14 лет</w:t>
      </w:r>
    </w:p>
    <w:p>
      <w:pPr>
        <w:ind w:left="4536"/>
        <w:spacing w:after="60"/>
      </w:pPr>
      <w:r>
        <w:rPr>
          <w:b/>
        </w:rPr>
        <w:t xml:space="preserve">Объём: </w:t>
      </w:r>
      <w:r>
        <w:t xml:space="preserve">72 часа</w:t>
      </w:r>
    </w:p>
    <w:p>
      <w:pPr>
        <w:ind w:left="4536"/>
        <w:spacing w:after="60"/>
      </w:pPr>
      <w:r>
        <w:rPr>
          <w:b/>
        </w:rPr>
        <w:t xml:space="preserve">Срок реализации: </w:t>
      </w:r>
      <w:r>
        <w:t xml:space="preserve">1 год</w:t>
      </w:r>
    </w:p>
    <w:p>
      <w:pPr>
        <w:spacing w:after="360"/>
      </w:pPr>
    </w:p>
    <w:p>
      <w:pPr>
        <w:ind w:left="4536"/>
        <w:spacing w:after="0"/>
      </w:pPr>
      <w:r>
        <w:rPr>
          <w:b/>
        </w:rPr>
        <w:t xml:space="preserve">Разработчик:</w:t>
      </w:r>
    </w:p>
    <w:p>
      <w:pPr>
        <w:ind w:left="4536"/>
        <w:spacing w:after="0"/>
      </w:pPr>
      <w:r>
        <w:t xml:space="preserve">[ФИО], педагог дополнительного образования</w:t>
      </w:r>
    </w:p>
    <w:p>
      <w:pPr>
        <w:spacing w:before="2400" w:after="0"/>
      </w:pPr>
    </w:p>
    <w:p>
      <w:pPr>
        <w:jc w:val="center"/>
      </w:pPr>
      <w:r>
        <w:t xml:space="preserve">[Город], 2026</w:t>
      </w:r>
    </w:p>
    <w:p>
      <w:r>
        <w:br w:type="page"/>
      </w:r>
    </w:p>
    <w:p>
      <w:pPr>
        <w:pStyle w:val="KpTocHead"/>
      </w:pPr>
      <w:r>
        <w:t xml:space="preserve">Оглавление</w:t>
      </w:r>
    </w:p>
    <w:p>
      <w:pPr>
        <w:pStyle w:val="TOC1"/>
      </w:pPr>
      <w:r>
        <w:fldChar w:fldCharType="begin"/>
      </w:r>
      <w:r>
        <w:instrText xml:space="preserve"> TOC \o "1-1" \h \z \u </w:instrText>
      </w:r>
      <w:r>
        <w:fldChar w:fldCharType="separate"/>
      </w:r>
      <w:r>
        <w:t xml:space="preserve">1. Пояснительная записка</w:t>
      </w:r>
    </w:p>
    <w:p>
      <w:pPr>
        <w:pStyle w:val="TOC1"/>
      </w:pPr>
      <w:r>
        <w:t xml:space="preserve">2. Учебный план</w:t>
      </w:r>
    </w:p>
    <w:p>
      <w:pPr>
        <w:pStyle w:val="TOC1"/>
      </w:pPr>
      <w:r>
        <w:t xml:space="preserve">3. Календарный учебный график</w:t>
      </w:r>
    </w:p>
    <w:p>
      <w:pPr>
        <w:pStyle w:val="TOC1"/>
      </w:pPr>
      <w:r>
        <w:t xml:space="preserve">4. Содержание программы</w:t>
      </w:r>
    </w:p>
    <w:p>
      <w:pPr>
        <w:pStyle w:val="TOC1"/>
      </w:pPr>
      <w:r>
        <w:t xml:space="preserve">5. Воспитание</w:t>
      </w:r>
    </w:p>
    <w:p>
      <w:pPr>
        <w:pStyle w:val="TOC1"/>
      </w:pPr>
      <w:r>
        <w:t xml:space="preserve">6. Планируемые результаты</w:t>
      </w:r>
    </w:p>
    <w:p>
      <w:pPr>
        <w:pStyle w:val="TOC1"/>
      </w:pPr>
      <w:r>
        <w:t xml:space="preserve">7. Ресурсное обеспечение (условия реализации)</w:t>
      </w:r>
    </w:p>
    <w:p>
      <w:pPr>
        <w:pStyle w:val="TOC1"/>
      </w:pPr>
      <w:r>
        <w:t xml:space="preserve">8. Формы аттестации и оценочные материалы</w:t>
      </w:r>
    </w:p>
    <w:p>
      <w:pPr>
        <w:pStyle w:val="TOC1"/>
      </w:pPr>
      <w:r>
        <w:t xml:space="preserve">9. Методические материалы</w:t>
      </w:r>
    </w:p>
    <w:p>
      <w:pPr>
        <w:pStyle w:val="TOC1"/>
      </w:pPr>
      <w:r>
        <w:t xml:space="preserve">10. Список литературы и интернет-источников</w:t>
      </w:r>
      <w:r>
        <w:fldChar w:fldCharType="end"/>
      </w:r>
    </w:p>
    <w:p>
      <w:r>
        <w:br w:type="page"/>
      </w:r>
    </w:p>
    <w:p>
      <w:pPr>
        <w:pStyle w:val="Heading1"/>
      </w:pPr>
      <w:r>
        <w:t xml:space="preserve">1. Пояснительная записка</w:t>
      </w:r>
    </w:p>
    <w:p>
      <w:pPr>
        <w:pStyle w:val="KpBody"/>
      </w:pPr>
      <w:r>
        <w:t xml:space="preserve">Дополнительная общеобразовательная общеразвивающая программа «Основы робототехники» (далее — программа) знакомит с устройством роботов: из каких деталей они собраны, как механизмы передают движение и как программа управляет моторами и датчиками. Основные виды деятельности: конструирование моделей роботов и механизмов, программирование их поведения, испытания и соревнования.</w:t>
      </w:r>
    </w:p>
    <w:p>
      <w:pPr>
        <w:pStyle w:val="Heading2"/>
      </w:pPr>
      <w:r>
        <w:t xml:space="preserve">Направленность и уровень</w:t>
      </w:r>
    </w:p>
    <w:p>
      <w:pPr>
        <w:pStyle w:val="KpBody"/>
      </w:pPr>
      <w:r>
        <w:rPr>
          <w:b/>
        </w:rPr>
        <w:t xml:space="preserve">Направленность: </w:t>
      </w:r>
      <w:r>
        <w:t xml:space="preserve">техническая.</w:t>
      </w:r>
    </w:p>
    <w:p>
      <w:pPr>
        <w:pStyle w:val="KpBody"/>
      </w:pPr>
      <w:r>
        <w:rPr>
          <w:b/>
        </w:rPr>
        <w:t xml:space="preserve">Уровень: </w:t>
      </w:r>
      <w:r>
        <w:t xml:space="preserve">базовый — освоение специализированных знаний и языка предметной области, целостная картина в рамках содержания программы.</w:t>
      </w:r>
    </w:p>
    <w:p>
      <w:pPr>
        <w:pStyle w:val="Heading2"/>
      </w:pPr>
      <w:r>
        <w:t xml:space="preserve">Нормативные основания</w:t>
      </w:r>
    </w:p>
    <w:p>
      <w:pPr>
        <w:pStyle w:val="KpBody"/>
      </w:pPr>
      <w:r>
        <w:t xml:space="preserve">Программа разработана с учётом требований:</w:t>
      </w:r>
    </w:p>
    <w:p>
      <w:pPr>
        <w:pStyle w:val="KpList"/>
      </w:pPr>
      <w:r>
        <w:t xml:space="preserve">– </w:t>
      </w:r>
      <w:r>
        <w:t xml:space="preserve">Федерального закона от 29.12.2012 № 273-ФЗ «Об образовании в Российской Федерации» (ст. 2, 12, 75);</w:t>
      </w:r>
    </w:p>
    <w:p>
      <w:pPr>
        <w:pStyle w:val="KpList"/>
      </w:pPr>
      <w:r>
        <w:t xml:space="preserve">– </w:t>
      </w:r>
      <w:r>
        <w:t xml:space="preserve">Порядка организации и осуществления образовательной деятельности по дополнительным общеобразовательным программам, утверждённого приказом Минпросвещения России от 27.07.2022 № 629;</w:t>
      </w:r>
    </w:p>
    <w:p>
      <w:pPr>
        <w:pStyle w:val="KpList"/>
      </w:pPr>
      <w:r>
        <w:t xml:space="preserve">– </w:t>
      </w:r>
      <w:r>
        <w:t xml:space="preserve">Концепции развития дополнительного образования детей до 2030 года, утверждённой распоряжением Правительства Российской Федерации от 31.03.2022 № 678-р (в ред. распоряжения от 01.07.2025 № 1745-р);</w:t>
      </w:r>
    </w:p>
    <w:p>
      <w:pPr>
        <w:pStyle w:val="KpList"/>
      </w:pPr>
      <w:r>
        <w:t xml:space="preserve">– </w:t>
      </w:r>
      <w:r>
        <w:t xml:space="preserve">Методических рекомендаций по разработке дополнительных общеразвивающих программ, в том числе в части интеграции с учебными предметами «Труд (технология)», «Музыка», «Изобразительное искусство», «Физическая культура» (письмо Минпросвещения России от 23.01.2026 № АБ-254/06);</w:t>
      </w:r>
    </w:p>
    <w:p>
      <w:pPr>
        <w:pStyle w:val="KpList"/>
      </w:pPr>
      <w:r>
        <w:t xml:space="preserve">– </w:t>
      </w:r>
      <w:r>
        <w:t xml:space="preserve">санитарных правил СП 2.4.2.4283-26 «Санитарно-эпидемиологические требования к организациям воспитания и обучения, отдыха и оздоровления детей и молодежи» (постановление Главного государственного санитарного врача РФ от 02.06.2026 № 19);</w:t>
      </w:r>
    </w:p>
    <w:p>
      <w:pPr>
        <w:pStyle w:val="KpList"/>
      </w:pPr>
      <w:r>
        <w:t xml:space="preserve">– </w:t>
      </w:r>
      <w:r>
        <w:t xml:space="preserve">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 (постановление Главного государственного санитарного врача РФ от 28.01.2021 № 2);</w:t>
      </w:r>
    </w:p>
    <w:p>
      <w:pPr>
        <w:pStyle w:val="KpList"/>
      </w:pPr>
      <w:r>
        <w:t xml:space="preserve">– </w:t>
      </w:r>
      <w:r>
        <w:t xml:space="preserve">устава и локальных нормативных актов [наименование организации].</w:t>
      </w:r>
    </w:p>
    <w:p>
      <w:pPr>
        <w:pStyle w:val="Heading2"/>
      </w:pPr>
      <w:r>
        <w:t xml:space="preserve">Актуальность</w:t>
      </w:r>
    </w:p>
    <w:p>
      <w:pPr>
        <w:pStyle w:val="KpBody"/>
      </w:pPr>
      <w:r>
        <w:t xml:space="preserve">Робототехника соединяет конструирование, программирование и элементы физики и математики: ребёнок видит, как написанная им программа заставляет модель двигаться, и учится доводить задачу до работающего результата. Программа отвечает приоритетам технической направленности, названным в Концепции развития дополнительного образования детей до 2030 года: вовлечению детей в создание искусственно-технических и виртуальных объектов и приобретение навыков в области освоения языков программирования, автоматизации и робототехники.</w:t>
      </w:r>
    </w:p>
    <w:p>
      <w:pPr>
        <w:pStyle w:val="Heading2"/>
      </w:pPr>
      <w:r>
        <w:t xml:space="preserve">Отличительные особенности</w:t>
      </w:r>
    </w:p>
    <w:p>
      <w:pPr>
        <w:pStyle w:val="KpBody"/>
      </w:pPr>
      <w:r>
        <w:t xml:space="preserve">Программа написана под конкретное оборудование — VEX IQ Super Kit (2-е поколение, Gen 2), артикул 228-8899-10: темы и практические работы опираются на его комплектацию, а количество наборов рассчитано на группу. Практика занимает около 70% учебного времени. Программа построена по модульному принципу (п. 15 Порядка): разделы можно переставлять и сокращать под группу. Каждый год обучения завершается проектом.</w:t>
      </w:r>
    </w:p>
    <w:p>
      <w:pPr>
        <w:pStyle w:val="Heading2"/>
      </w:pPr>
      <w:r>
        <w:t xml:space="preserve">Педагогическая целесообразность</w:t>
      </w:r>
    </w:p>
    <w:p>
      <w:pPr>
        <w:pStyle w:val="KpBody"/>
      </w:pPr>
      <w:r>
        <w:t xml:space="preserve">Занятия идут от простого к сложному, и каждая тема заканчивается работающим результатом, который обучающийся может показать и объяснить. Работа в парах и мини-группах учит договариваться и распределять роли, а соревновательные и проектные формы поддерживают интерес на протяжении всего года.</w:t>
      </w:r>
    </w:p>
    <w:p>
      <w:pPr>
        <w:pStyle w:val="Heading2"/>
      </w:pPr>
      <w:r>
        <w:t xml:space="preserve">Адресат программы</w:t>
      </w:r>
    </w:p>
    <w:p>
      <w:pPr>
        <w:pStyle w:val="KpBody"/>
      </w:pPr>
      <w:r>
        <w:t xml:space="preserve">Программа рассчитана на обучающихся 10–14 лет. Подростки стремятся к самостоятельности и признанию сверстников. Им важны командные задачи, соревнования и возможность придумать своё решение. Набор свободный, без требований к уровню подготовки (ч. 3 ст. 75 273-ФЗ); уровень подготовки определяется входной диагностикой. Наполняемость группы — до 12 человек; допускаются разновозрастные группы (п. 9 Порядка).</w:t>
      </w:r>
    </w:p>
    <w:p>
      <w:pPr>
        <w:pStyle w:val="Heading2"/>
      </w:pPr>
      <w:r>
        <w:t xml:space="preserve">Объём и срок освоения</w:t>
      </w:r>
    </w:p>
    <w:p>
      <w:pPr>
        <w:pStyle w:val="KpBody"/>
      </w:pPr>
      <w:r>
        <w:t xml:space="preserve">72 часа, 1 год обучения; 36 учебных недель в год.</w:t>
      </w:r>
    </w:p>
    <w:p>
      <w:pPr>
        <w:pStyle w:val="Heading2"/>
      </w:pPr>
      <w:r>
        <w:t xml:space="preserve">Форма обучения</w:t>
      </w:r>
    </w:p>
    <w:p>
      <w:pPr>
        <w:pStyle w:val="KpBody"/>
      </w:pPr>
      <w:r>
        <w:t xml:space="preserve">Очная (п. 12 Порядка).</w:t>
      </w:r>
    </w:p>
    <w:p>
      <w:pPr>
        <w:pStyle w:val="Heading2"/>
      </w:pPr>
      <w:r>
        <w:t xml:space="preserve">Режим занятий</w:t>
      </w:r>
    </w:p>
    <w:p>
      <w:pPr>
        <w:pStyle w:val="KpBody"/>
      </w:pPr>
      <w:r>
        <w:t xml:space="preserve">1 раз в неделю по 2 академических часа. Академический час — 45 минут; между академическими часами — перерыв не менее 10 минут. Работа за компьютером на занятии — не дольше 30 минут подряд (СанПиН 1.2.3685-21, табл. 6.8). Занятия заканчиваются не позднее 20:00 (СП 2.4.2.4283-26, СанПиН 1.2.3685-21). Продолжительность занятий и наполняемость групп закрепляются локальным нормативным актом организации (п. 11 Порядка).</w:t>
      </w:r>
    </w:p>
    <w:p>
      <w:pPr>
        <w:pStyle w:val="KpBody"/>
      </w:pPr>
      <w:r>
        <w:rPr>
          <w:b/>
        </w:rPr>
        <w:t xml:space="preserve">Формы занятий: </w:t>
      </w:r>
      <w:r>
        <w:t xml:space="preserve">практическое занятие, лабораторная работа, мини-соревнование, работа над проектом, защита проекта, выставка. </w:t>
      </w:r>
      <w:r>
        <w:rPr>
          <w:b/>
        </w:rPr>
        <w:t xml:space="preserve">Формы организации деятельности: </w:t>
      </w:r>
      <w:r>
        <w:t xml:space="preserve">фронтальная, групповая (в парах и мини-группах), индивидуальная.</w:t>
      </w:r>
    </w:p>
    <w:p>
      <w:pPr>
        <w:pStyle w:val="Heading2"/>
      </w:pPr>
      <w:r>
        <w:t xml:space="preserve">Цель и задачи</w:t>
      </w:r>
    </w:p>
    <w:p>
      <w:pPr>
        <w:pStyle w:val="KpBody"/>
      </w:pPr>
      <w:r>
        <w:rPr>
          <w:b/>
        </w:rPr>
        <w:t xml:space="preserve">Цель: </w:t>
      </w:r>
      <w:r>
        <w:t xml:space="preserve">Сформировать у обучающихся базовые знания и умения в конструировании и программировании роботов через создание собственных работающих моделей.</w:t>
      </w:r>
    </w:p>
    <w:p>
      <w:pPr>
        <w:pStyle w:val="KpBody"/>
      </w:pPr>
      <w:r>
        <w:rPr>
          <w:b/>
        </w:rPr>
        <w:t xml:space="preserve">Обучающие задачи:</w:t>
      </w:r>
    </w:p>
    <w:p>
      <w:pPr>
        <w:pStyle w:val="KpList"/>
      </w:pPr>
      <w:r>
        <w:t xml:space="preserve">– </w:t>
      </w:r>
      <w:r>
        <w:t xml:space="preserve">познакомить с деталями набора, способами их соединения и правилами работы с оборудованием;</w:t>
      </w:r>
    </w:p>
    <w:p>
      <w:pPr>
        <w:pStyle w:val="KpList"/>
      </w:pPr>
      <w:r>
        <w:t xml:space="preserve">– </w:t>
      </w:r>
      <w:r>
        <w:t xml:space="preserve">научить собирать модели по схеме и составлять простые программы;</w:t>
      </w:r>
    </w:p>
    <w:p>
      <w:pPr>
        <w:pStyle w:val="KpList"/>
      </w:pPr>
      <w:r>
        <w:t xml:space="preserve">– </w:t>
      </w:r>
      <w:r>
        <w:t xml:space="preserve">дать представление о простых механизмах и передаче движения;</w:t>
      </w:r>
    </w:p>
    <w:p>
      <w:pPr>
        <w:pStyle w:val="KpList"/>
      </w:pPr>
      <w:r>
        <w:t xml:space="preserve">– </w:t>
      </w:r>
      <w:r>
        <w:t xml:space="preserve">научить использовать датчики и программировать реакцию робота на окружение;</w:t>
      </w:r>
    </w:p>
    <w:p>
      <w:pPr>
        <w:pStyle w:val="KpList"/>
      </w:pPr>
      <w:r>
        <w:t xml:space="preserve">– </w:t>
      </w:r>
      <w:r>
        <w:t xml:space="preserve">научить проектировать собственные модели под поставленную задачу.</w:t>
      </w:r>
    </w:p>
    <w:p>
      <w:pPr>
        <w:pStyle w:val="KpBody"/>
      </w:pPr>
      <w:r>
        <w:rPr>
          <w:b/>
        </w:rPr>
        <w:t xml:space="preserve">Развивающие задачи:</w:t>
      </w:r>
    </w:p>
    <w:p>
      <w:pPr>
        <w:pStyle w:val="KpList"/>
      </w:pPr>
      <w:r>
        <w:t xml:space="preserve">– </w:t>
      </w:r>
      <w:r>
        <w:t xml:space="preserve">развивать техническое и алгоритмическое мышление, пространственное воображение;</w:t>
      </w:r>
    </w:p>
    <w:p>
      <w:pPr>
        <w:pStyle w:val="KpList"/>
      </w:pPr>
      <w:r>
        <w:t xml:space="preserve">– </w:t>
      </w:r>
      <w:r>
        <w:t xml:space="preserve">развивать умение планировать работу, искать и исправлять ошибки;</w:t>
      </w:r>
    </w:p>
    <w:p>
      <w:pPr>
        <w:pStyle w:val="KpList"/>
      </w:pPr>
      <w:r>
        <w:t xml:space="preserve">– </w:t>
      </w:r>
      <w:r>
        <w:t xml:space="preserve">развивать умение работать с инструкциями, схемами и технической информацией;</w:t>
      </w:r>
    </w:p>
    <w:p>
      <w:pPr>
        <w:pStyle w:val="KpList"/>
      </w:pPr>
      <w:r>
        <w:t xml:space="preserve">– </w:t>
      </w:r>
      <w:r>
        <w:t xml:space="preserve">развивать умение представлять и защищать результат своей работы.</w:t>
      </w:r>
    </w:p>
    <w:p>
      <w:pPr>
        <w:pStyle w:val="KpBody"/>
      </w:pPr>
      <w:r>
        <w:rPr>
          <w:b/>
        </w:rPr>
        <w:t xml:space="preserve">Воспитательные задачи:</w:t>
      </w:r>
    </w:p>
    <w:p>
      <w:pPr>
        <w:pStyle w:val="KpList"/>
      </w:pPr>
      <w:r>
        <w:t xml:space="preserve">– </w:t>
      </w:r>
      <w:r>
        <w:t xml:space="preserve">воспитывать аккуратность, ответственность и бережное отношение к оборудованию;</w:t>
      </w:r>
    </w:p>
    <w:p>
      <w:pPr>
        <w:pStyle w:val="KpList"/>
      </w:pPr>
      <w:r>
        <w:t xml:space="preserve">– </w:t>
      </w:r>
      <w:r>
        <w:t xml:space="preserve">воспитывать умение работать в команде и уважение к мнению товарищей;</w:t>
      </w:r>
    </w:p>
    <w:p>
      <w:pPr>
        <w:pStyle w:val="KpList"/>
      </w:pPr>
      <w:r>
        <w:t xml:space="preserve">– </w:t>
      </w:r>
      <w:r>
        <w:t xml:space="preserve">формировать интерес к инженерным профессиям и уважение к отечественной науке и технике.</w:t>
      </w:r>
    </w:p>
    <w:p>
      <w:pPr>
        <w:pStyle w:val="Heading2"/>
      </w:pPr>
      <w:r>
        <w:t xml:space="preserve">Ожидаемые результаты и формы подведения итогов</w:t>
      </w:r>
    </w:p>
    <w:p>
      <w:pPr>
        <w:pStyle w:val="KpBody"/>
      </w:pPr>
      <w:r>
        <w:t xml:space="preserve">По итогам освоения программы обучающиеся знают названия и назначение основных деталей набора, правила безопасной работы; собирают модель по схеме и запускают её программу; объясняют, как в модели передаётся движение от мотора к колёсам и механизмам. Подробно результаты по годам обучения — в разделе 6.</w:t>
      </w:r>
    </w:p>
    <w:p>
      <w:pPr>
        <w:pStyle w:val="KpBody"/>
      </w:pPr>
      <w:r>
        <w:rPr>
          <w:b/>
        </w:rPr>
        <w:t xml:space="preserve">Формы подведения итогов: </w:t>
      </w:r>
      <w:r>
        <w:t xml:space="preserve">выставка и защита проектов, соревнования моделей, участие в соревнованиях и конкурсах. Методы определения результативности: педагогическое наблюдение, анализ практических и контрольных заданий, защита проектов (раздел 8).</w:t>
      </w:r>
    </w:p>
    <w:p>
      <w:pPr>
        <w:pStyle w:val="Heading1"/>
      </w:pPr>
      <w:r>
        <w:t xml:space="preserve">2. Учебный план</w:t>
      </w:r>
    </w:p>
    <w:tbl>
      <w:tblPr>
        <w:tblStyle w:val="KpTable"/>
        <w:tblW w:w="9355" w:type="dxa"/>
        <w:tblLayout w:type="fixed"/>
        <w:tblLook w:val="04A0" w:firstRow="1" w:lastRow="0" w:firstColumn="0" w:lastColumn="0" w:noHBand="1" w:noVBand="1"/>
      </w:tblPr>
      <w:tblGrid>
        <w:gridCol w:w="742"/>
        <w:gridCol w:w="2499"/>
        <w:gridCol w:w="870"/>
        <w:gridCol w:w="998"/>
        <w:gridCol w:w="1254"/>
        <w:gridCol w:w="2992"/>
      </w:tblGrid>
      <w:tr>
        <w:trPr>
          <w:tblHeader/>
          <w:cantSplit/>
        </w:trPr>
        <w:tc>
          <w:tcPr>
            <w:tcW w:w="742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№</w:t>
            </w:r>
          </w:p>
        </w:tc>
        <w:tc>
          <w:tcPr>
            <w:tcW w:w="2499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Раздел, тема</w:t>
            </w:r>
          </w:p>
        </w:tc>
        <w:tc>
          <w:tcPr>
            <w:tcW w:w="870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Всего</w:t>
            </w:r>
          </w:p>
        </w:tc>
        <w:tc>
          <w:tcPr>
            <w:tcW w:w="998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Теория</w:t>
            </w:r>
          </w:p>
        </w:tc>
        <w:tc>
          <w:tcPr>
            <w:tcW w:w="1254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Практика</w:t>
            </w:r>
          </w:p>
        </w:tc>
        <w:tc>
          <w:tcPr>
            <w:tcW w:w="2992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Формы аттестации / контроля</w:t>
            </w:r>
          </w:p>
        </w:tc>
      </w:tr>
      <w:tr>
        <w:trPr>
          <w:cantSplit/>
        </w:trPr>
        <w:tc>
          <w:tcPr>
            <w:tcW w:w="742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1.</w:t>
            </w:r>
          </w:p>
        </w:tc>
        <w:tc>
          <w:tcPr>
            <w:tcW w:w="2499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Раздел 1. Введение</w:t>
            </w:r>
          </w:p>
        </w:tc>
        <w:tc>
          <w:tcPr>
            <w:tcW w:w="870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2</w:t>
            </w:r>
          </w:p>
        </w:tc>
        <w:tc>
          <w:tcPr>
            <w:tcW w:w="998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1</w:t>
            </w:r>
          </w:p>
        </w:tc>
        <w:tc>
          <w:tcPr>
            <w:tcW w:w="1254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1</w:t>
            </w:r>
          </w:p>
        </w:tc>
        <w:tc>
          <w:tcPr>
            <w:tcW w:w="2992" w:type="dxa"/>
            <w:shd w:val="clear" w:color="auto" w:fill="F7F7F7"/>
          </w:tcPr>
          <w:p>
            <w:pPr>
              <w:pStyle w:val="KpCell"/>
              <w:jc w:val="left"/>
            </w:pP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1.1.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Вводное занятие. Техника безопасности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2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Входная диагностика</w:t>
            </w:r>
          </w:p>
        </w:tc>
      </w:tr>
      <w:tr>
        <w:trPr>
          <w:cantSplit/>
        </w:trPr>
        <w:tc>
          <w:tcPr>
            <w:tcW w:w="742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2.</w:t>
            </w:r>
          </w:p>
        </w:tc>
        <w:tc>
          <w:tcPr>
            <w:tcW w:w="2499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Раздел 2. Конструирование на VEX IQ</w:t>
            </w:r>
          </w:p>
        </w:tc>
        <w:tc>
          <w:tcPr>
            <w:tcW w:w="870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16</w:t>
            </w:r>
          </w:p>
        </w:tc>
        <w:tc>
          <w:tcPr>
            <w:tcW w:w="998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5,5</w:t>
            </w:r>
          </w:p>
        </w:tc>
        <w:tc>
          <w:tcPr>
            <w:tcW w:w="1254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10,5</w:t>
            </w:r>
          </w:p>
        </w:tc>
        <w:tc>
          <w:tcPr>
            <w:tcW w:w="2992" w:type="dxa"/>
            <w:shd w:val="clear" w:color="auto" w:fill="F7F7F7"/>
          </w:tcPr>
          <w:p>
            <w:pPr>
              <w:pStyle w:val="KpCell"/>
              <w:jc w:val="left"/>
            </w:pP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2.1.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Набор VEX IQ: детали и органайзеры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6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2,5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Наблюдение, беседа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2.2.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Приводы и передача движения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Практическая работа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2.3.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Контроллер и пульт управления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Практическое задание</w:t>
            </w:r>
          </w:p>
        </w:tc>
      </w:tr>
      <w:tr>
        <w:trPr>
          <w:cantSplit/>
        </w:trPr>
        <w:tc>
          <w:tcPr>
            <w:tcW w:w="742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3.</w:t>
            </w:r>
          </w:p>
        </w:tc>
        <w:tc>
          <w:tcPr>
            <w:tcW w:w="2499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Раздел 3. Управление роботом с пульта</w:t>
            </w:r>
          </w:p>
        </w:tc>
        <w:tc>
          <w:tcPr>
            <w:tcW w:w="870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14</w:t>
            </w:r>
          </w:p>
        </w:tc>
        <w:tc>
          <w:tcPr>
            <w:tcW w:w="998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4</w:t>
            </w:r>
          </w:p>
        </w:tc>
        <w:tc>
          <w:tcPr>
            <w:tcW w:w="1254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10</w:t>
            </w:r>
          </w:p>
        </w:tc>
        <w:tc>
          <w:tcPr>
            <w:tcW w:w="2992" w:type="dxa"/>
            <w:shd w:val="clear" w:color="auto" w:fill="F7F7F7"/>
          </w:tcPr>
          <w:p>
            <w:pPr>
              <w:pStyle w:val="KpCell"/>
              <w:jc w:val="left"/>
            </w:pP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3.1.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Ручное управление: проезд трассы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Мини-соревнование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3.2.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Механизм для перемещения предметов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8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2,5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Практическое задание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3.3.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Промежуточная аттестация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0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Промежуточная аттестация: контрольное задание</w:t>
            </w:r>
          </w:p>
        </w:tc>
      </w:tr>
      <w:tr>
        <w:trPr>
          <w:cantSplit/>
        </w:trPr>
        <w:tc>
          <w:tcPr>
            <w:tcW w:w="742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4.</w:t>
            </w:r>
          </w:p>
        </w:tc>
        <w:tc>
          <w:tcPr>
            <w:tcW w:w="2499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Раздел 4. Автономный робот</w:t>
            </w:r>
          </w:p>
        </w:tc>
        <w:tc>
          <w:tcPr>
            <w:tcW w:w="870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28</w:t>
            </w:r>
          </w:p>
        </w:tc>
        <w:tc>
          <w:tcPr>
            <w:tcW w:w="998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8,5</w:t>
            </w:r>
          </w:p>
        </w:tc>
        <w:tc>
          <w:tcPr>
            <w:tcW w:w="1254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19,5</w:t>
            </w:r>
          </w:p>
        </w:tc>
        <w:tc>
          <w:tcPr>
            <w:tcW w:w="2992" w:type="dxa"/>
            <w:shd w:val="clear" w:color="auto" w:fill="F7F7F7"/>
          </w:tcPr>
          <w:p>
            <w:pPr>
              <w:pStyle w:val="KpCell"/>
              <w:jc w:val="left"/>
            </w:pP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4.1.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Программа автономного движения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8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2,5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Практическое задание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4.2.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Инерционный датчик: точные повороты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Практическая работа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4.3.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Датчик расстояния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Мини-соревнование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4.4.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Датчик касания и датчик касания со светодиодом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Практическое задание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4.5.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Оптический датчик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Практическое задание</w:t>
            </w:r>
          </w:p>
        </w:tc>
      </w:tr>
      <w:tr>
        <w:trPr>
          <w:cantSplit/>
        </w:trPr>
        <w:tc>
          <w:tcPr>
            <w:tcW w:w="742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5.</w:t>
            </w:r>
          </w:p>
        </w:tc>
        <w:tc>
          <w:tcPr>
            <w:tcW w:w="2499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Раздел 5. Проектная деятельность</w:t>
            </w:r>
          </w:p>
        </w:tc>
        <w:tc>
          <w:tcPr>
            <w:tcW w:w="870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10</w:t>
            </w:r>
          </w:p>
        </w:tc>
        <w:tc>
          <w:tcPr>
            <w:tcW w:w="998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2,5</w:t>
            </w:r>
          </w:p>
        </w:tc>
        <w:tc>
          <w:tcPr>
            <w:tcW w:w="1254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7,5</w:t>
            </w:r>
          </w:p>
        </w:tc>
        <w:tc>
          <w:tcPr>
            <w:tcW w:w="2992" w:type="dxa"/>
            <w:shd w:val="clear" w:color="auto" w:fill="F7F7F7"/>
          </w:tcPr>
          <w:p>
            <w:pPr>
              <w:pStyle w:val="KpCell"/>
              <w:jc w:val="left"/>
            </w:pP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5.1.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Идея и план проекта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Обсуждение плана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5.2.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Создание проекта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0,5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4,5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Наблюдение, промежуточный показ</w:t>
            </w: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5.3.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Подготовка к защите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2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0,5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1,5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Предварительная защита</w:t>
            </w:r>
          </w:p>
        </w:tc>
      </w:tr>
      <w:tr>
        <w:trPr>
          <w:cantSplit/>
        </w:trPr>
        <w:tc>
          <w:tcPr>
            <w:tcW w:w="742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6.</w:t>
            </w:r>
          </w:p>
        </w:tc>
        <w:tc>
          <w:tcPr>
            <w:tcW w:w="2499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Раздел 6. Итоговое занятие</w:t>
            </w:r>
          </w:p>
        </w:tc>
        <w:tc>
          <w:tcPr>
            <w:tcW w:w="870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2</w:t>
            </w:r>
          </w:p>
        </w:tc>
        <w:tc>
          <w:tcPr>
            <w:tcW w:w="998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0</w:t>
            </w:r>
          </w:p>
        </w:tc>
        <w:tc>
          <w:tcPr>
            <w:tcW w:w="1254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2</w:t>
            </w:r>
          </w:p>
        </w:tc>
        <w:tc>
          <w:tcPr>
            <w:tcW w:w="2992" w:type="dxa"/>
            <w:shd w:val="clear" w:color="auto" w:fill="F7F7F7"/>
          </w:tcPr>
          <w:p>
            <w:pPr>
              <w:pStyle w:val="KpCell"/>
              <w:jc w:val="left"/>
            </w:pPr>
          </w:p>
        </w:tc>
      </w:tr>
      <w:tr>
        <w:trPr>
          <w:cantSplit/>
        </w:trPr>
        <w:tc>
          <w:tcPr>
            <w:tcW w:w="74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6.1.</w:t>
            </w:r>
          </w:p>
        </w:tc>
        <w:tc>
          <w:tcPr>
            <w:tcW w:w="249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Итоговая аттестация</w:t>
            </w:r>
          </w:p>
        </w:tc>
        <w:tc>
          <w:tcPr>
            <w:tcW w:w="87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2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0</w:t>
            </w:r>
          </w:p>
        </w:tc>
        <w:tc>
          <w:tcPr>
            <w:tcW w:w="1254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2</w:t>
            </w:r>
          </w:p>
        </w:tc>
        <w:tc>
          <w:tcPr>
            <w:tcW w:w="299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Итоговая аттестация: выставка и защита проектов, соревнования моделей</w:t>
            </w:r>
          </w:p>
        </w:tc>
      </w:tr>
      <w:tr>
        <w:trPr>
          <w:cantSplit/>
        </w:trPr>
        <w:tc>
          <w:tcPr>
            <w:tcW w:w="742" w:type="dxa"/>
            <w:shd w:val="clear" w:color="auto" w:fill="F7F7F7"/>
          </w:tcPr>
          <w:p>
            <w:pPr>
              <w:pStyle w:val="KpCell"/>
              <w:jc w:val="left"/>
            </w:pPr>
          </w:p>
        </w:tc>
        <w:tc>
          <w:tcPr>
            <w:tcW w:w="2499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Итого</w:t>
            </w:r>
          </w:p>
        </w:tc>
        <w:tc>
          <w:tcPr>
            <w:tcW w:w="870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72</w:t>
            </w:r>
          </w:p>
        </w:tc>
        <w:tc>
          <w:tcPr>
            <w:tcW w:w="998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21,5</w:t>
            </w:r>
          </w:p>
        </w:tc>
        <w:tc>
          <w:tcPr>
            <w:tcW w:w="1254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50,5</w:t>
            </w:r>
          </w:p>
        </w:tc>
        <w:tc>
          <w:tcPr>
            <w:tcW w:w="2992" w:type="dxa"/>
            <w:shd w:val="clear" w:color="auto" w:fill="F7F7F7"/>
          </w:tcPr>
          <w:p>
            <w:pPr>
              <w:pStyle w:val="KpCell"/>
              <w:jc w:val="left"/>
            </w:pPr>
          </w:p>
        </w:tc>
      </w:tr>
    </w:tbl>
    <w:p>
      <w:pPr>
        <w:spacing w:after="0"/>
      </w:pPr>
    </w:p>
    <w:p>
      <w:pPr>
        <w:pStyle w:val="Heading1"/>
      </w:pPr>
      <w:r>
        <w:t xml:space="preserve">3. Календарный учебный график</w:t>
      </w:r>
    </w:p>
    <w:tbl>
      <w:tblPr>
        <w:tblStyle w:val="KpTable"/>
        <w:tblW w:w="9355" w:type="dxa"/>
        <w:tblLayout w:type="fixed"/>
        <w:tblLook w:val="04A0" w:firstRow="1" w:lastRow="0" w:firstColumn="0" w:lastColumn="0" w:noHBand="1" w:noVBand="1"/>
      </w:tblPr>
      <w:tblGrid>
        <w:gridCol w:w="1344"/>
        <w:gridCol w:w="1479"/>
        <w:gridCol w:w="1562"/>
        <w:gridCol w:w="1283"/>
        <w:gridCol w:w="1238"/>
        <w:gridCol w:w="1005"/>
        <w:gridCol w:w="1444"/>
      </w:tblGrid>
      <w:tr>
        <w:trPr>
          <w:tblHeader/>
          <w:cantSplit/>
        </w:trPr>
        <w:tc>
          <w:tcPr>
            <w:tcW w:w="1344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Год обучения</w:t>
            </w:r>
          </w:p>
        </w:tc>
        <w:tc>
          <w:tcPr>
            <w:tcW w:w="1479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Начало занятий</w:t>
            </w:r>
          </w:p>
        </w:tc>
        <w:tc>
          <w:tcPr>
            <w:tcW w:w="1562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Окончание занятий</w:t>
            </w:r>
          </w:p>
        </w:tc>
        <w:tc>
          <w:tcPr>
            <w:tcW w:w="1283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Учебных недель</w:t>
            </w:r>
          </w:p>
        </w:tc>
        <w:tc>
          <w:tcPr>
            <w:tcW w:w="1238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Учебных дней</w:t>
            </w:r>
          </w:p>
        </w:tc>
        <w:tc>
          <w:tcPr>
            <w:tcW w:w="1005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Всего часов</w:t>
            </w:r>
          </w:p>
        </w:tc>
        <w:tc>
          <w:tcPr>
            <w:tcW w:w="1444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Режим занятий</w:t>
            </w:r>
          </w:p>
        </w:tc>
      </w:tr>
      <w:tr>
        <w:trPr>
          <w:cantSplit/>
        </w:trPr>
        <w:tc>
          <w:tcPr>
            <w:tcW w:w="134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1-й</w:t>
            </w:r>
          </w:p>
        </w:tc>
        <w:tc>
          <w:tcPr>
            <w:tcW w:w="1479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1 сентября 2026 г.</w:t>
            </w:r>
          </w:p>
        </w:tc>
        <w:tc>
          <w:tcPr>
            <w:tcW w:w="156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31 мая 2027 г.</w:t>
            </w:r>
          </w:p>
        </w:tc>
        <w:tc>
          <w:tcPr>
            <w:tcW w:w="1283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36</w:t>
            </w:r>
          </w:p>
        </w:tc>
        <w:tc>
          <w:tcPr>
            <w:tcW w:w="123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36</w:t>
            </w:r>
          </w:p>
        </w:tc>
        <w:tc>
          <w:tcPr>
            <w:tcW w:w="1005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72</w:t>
            </w:r>
          </w:p>
        </w:tc>
        <w:tc>
          <w:tcPr>
            <w:tcW w:w="144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1 раз в неделю по 2 ч</w:t>
            </w:r>
          </w:p>
        </w:tc>
      </w:tr>
    </w:tbl>
    <w:p>
      <w:pPr>
        <w:spacing w:after="0"/>
      </w:pPr>
    </w:p>
    <w:p>
      <w:pPr>
        <w:pStyle w:val="KpBody"/>
      </w:pPr>
      <w:r>
        <w:rPr>
          <w:b/>
        </w:rPr>
        <w:t xml:space="preserve">Сроки аттестации: </w:t>
      </w:r>
      <w:r>
        <w:t xml:space="preserve">входная диагностика — сентябрь; промежуточная аттестация — декабрь; итоговая аттестация — май.</w:t>
      </w:r>
    </w:p>
    <w:p>
      <w:pPr>
        <w:pStyle w:val="KpBody"/>
      </w:pPr>
      <w:r>
        <w:rPr>
          <w:b/>
        </w:rPr>
        <w:t xml:space="preserve">Каникулы: </w:t>
      </w:r>
      <w:r>
        <w:t xml:space="preserve">с 1 июня по 31 августа. Программа может реализовываться и в каникулярное время (п. 8 Порядка) — по расписанию, которое утверждает организация.</w:t>
      </w:r>
    </w:p>
    <w:p>
      <w:pPr>
        <w:pStyle w:val="KpBody"/>
      </w:pPr>
      <w:r>
        <w:t xml:space="preserve">Даты занятий, праздничные дни и переносы указываются в расписании объединения на учебный год.</w:t>
      </w:r>
    </w:p>
    <w:p>
      <w:pPr>
        <w:pStyle w:val="Heading1"/>
      </w:pPr>
      <w:r>
        <w:t xml:space="preserve">4. Содержание программы</w:t>
      </w:r>
    </w:p>
    <w:p>
      <w:pPr>
        <w:pStyle w:val="Heading3"/>
      </w:pPr>
      <w:r>
        <w:t xml:space="preserve">Раздел 1. Введение (2 часа)</w:t>
      </w:r>
    </w:p>
    <w:p>
      <w:pPr>
        <w:pStyle w:val="KpBody"/>
      </w:pPr>
      <w:r>
        <w:t xml:space="preserve">Знакомство с программой, правила безопасности, входная диагностика.</w:t>
      </w:r>
    </w:p>
    <w:p>
      <w:pPr>
        <w:pStyle w:val="KpBody"/>
      </w:pPr>
      <w:r>
        <w:rPr>
          <w:b/>
        </w:rPr>
        <w:t xml:space="preserve">Тема 1.1. Вводное занятие. Техника безопасности (2 часа).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Знакомство с программой, группой и кабинетом. Правила поведения в кабинете; правила работы с деталями и электрическими компонентами набора, зарядка и хранение аккумуляторов и батареек, порядок хранения набора.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Входная диагностика: практическое задание на знакомство с оборудованием. Форма контроля: входная диагностика.</w:t>
      </w:r>
    </w:p>
    <w:p>
      <w:pPr>
        <w:pStyle w:val="Heading3"/>
      </w:pPr>
      <w:r>
        <w:t xml:space="preserve">Раздел 2. Конструирование на VEX IQ (16 часов)</w:t>
      </w:r>
    </w:p>
    <w:p>
      <w:pPr>
        <w:pStyle w:val="KpBody"/>
      </w:pPr>
      <w:r>
        <w:t xml:space="preserve">Конструктивные элементы и органайзеры набора, приводы постоянного тока, базовая тележка.</w:t>
      </w:r>
    </w:p>
    <w:p>
      <w:pPr>
        <w:pStyle w:val="KpBody"/>
      </w:pPr>
      <w:r>
        <w:rPr>
          <w:b/>
        </w:rPr>
        <w:t xml:space="preserve">Тема 2.1. Набор VEX IQ: детали и органайзеры (6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Конструктивные элементы, способы соединения; хранение деталей в органайзерах.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Собираем простую конструкцию и раскладываем детали по органайзерам. Форма контроля: наблюдение, беседа.</w:t>
      </w:r>
    </w:p>
    <w:p>
      <w:pPr>
        <w:pStyle w:val="KpBody"/>
      </w:pPr>
      <w:r>
        <w:rPr>
          <w:b/>
        </w:rPr>
        <w:t xml:space="preserve">Тема 2.2. Приводы и передача движения (5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Приводы постоянного тока, крепление колёс и осей.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Собираем базовую тележку на двух приводах. Форма контроля: практическая работа.</w:t>
      </w:r>
    </w:p>
    <w:p>
      <w:pPr>
        <w:pStyle w:val="KpBody"/>
      </w:pPr>
      <w:r>
        <w:rPr>
          <w:b/>
        </w:rPr>
        <w:t xml:space="preserve">Тема 2.3. Контроллер и пульт управления (5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Контроллер: 12 портов, цветной экран, кнопки навигации; пульт: джойстики и кнопки; связь по Bluetooth.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Подключаем приводы к контроллеру, связываем пульт и управляем тележкой. Форма контроля: практическое задание.</w:t>
      </w:r>
    </w:p>
    <w:p>
      <w:pPr>
        <w:pStyle w:val="Heading3"/>
      </w:pPr>
      <w:r>
        <w:t xml:space="preserve">Раздел 3. Управление роботом с пульта (14 часов)</w:t>
      </w:r>
    </w:p>
    <w:p>
      <w:pPr>
        <w:pStyle w:val="KpBody"/>
      </w:pPr>
      <w:r>
        <w:t xml:space="preserve">Ручное управление, точность движения, механизмы для перемещения предметов.</w:t>
      </w:r>
    </w:p>
    <w:p>
      <w:pPr>
        <w:pStyle w:val="KpBody"/>
      </w:pPr>
      <w:r>
        <w:rPr>
          <w:b/>
        </w:rPr>
        <w:t xml:space="preserve">Тема 3.1. Ручное управление: проезд трассы (5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Как управлять движением с джойстиков точно и плавно.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Проезжаем трассу на время. Форма контроля: мини-соревнование.</w:t>
      </w:r>
    </w:p>
    <w:p>
      <w:pPr>
        <w:pStyle w:val="KpBody"/>
      </w:pPr>
      <w:r>
        <w:rPr>
          <w:b/>
        </w:rPr>
        <w:t xml:space="preserve">Тема 3.2. Механизм для перемещения предметов (8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Как спроектировать механизм, который берёт и переносит предмет.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Собираем механизм из конструктивных элементов набора и проверяем его на задании. Форма контроля: практическое задание.</w:t>
      </w:r>
    </w:p>
    <w:p>
      <w:pPr>
        <w:pStyle w:val="KpBody"/>
      </w:pPr>
      <w:r>
        <w:rPr>
          <w:b/>
        </w:rPr>
        <w:t xml:space="preserve">Тема 3.3. Промежуточная аттестация (1 час).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Контрольное задание: собрать модель по схеме и запустить её программу; рассказать, какие детали и механизмы использованы. Форма контроля: промежуточная аттестация: контрольное задание.</w:t>
      </w:r>
    </w:p>
    <w:p>
      <w:pPr>
        <w:pStyle w:val="Heading3"/>
      </w:pPr>
      <w:r>
        <w:t xml:space="preserve">Раздел 4. Автономный робот (28 часов)</w:t>
      </w:r>
    </w:p>
    <w:p>
      <w:pPr>
        <w:pStyle w:val="KpBody"/>
      </w:pPr>
      <w:r>
        <w:t xml:space="preserve">Программы автономного движения; инерционный датчик контроллера, датчики расстояния, касания и оптический.</w:t>
      </w:r>
    </w:p>
    <w:p>
      <w:pPr>
        <w:pStyle w:val="KpBody"/>
      </w:pPr>
      <w:r>
        <w:rPr>
          <w:b/>
        </w:rPr>
        <w:t xml:space="preserve">Тема 4.1. Программа автономного движения (8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Автономный режим: робот выполняет заданную последовательность действий сам.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Программируем проезд заданного маршрута без пульта. Форма контроля: практическое задание.</w:t>
      </w:r>
    </w:p>
    <w:p>
      <w:pPr>
        <w:pStyle w:val="KpBody"/>
      </w:pPr>
      <w:r>
        <w:rPr>
          <w:b/>
        </w:rPr>
        <w:t xml:space="preserve">Тема 4.2. Инерционный датчик: точные повороты (5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Встроенный инерционный датчик контроллера и как он помогает поворачивать на нужный угол.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Программируем повороты по показаниям инерционного датчика. Форма контроля: практическая работа.</w:t>
      </w:r>
    </w:p>
    <w:p>
      <w:pPr>
        <w:pStyle w:val="KpBody"/>
      </w:pPr>
      <w:r>
        <w:rPr>
          <w:b/>
        </w:rPr>
        <w:t xml:space="preserve">Тема 4.3. Датчик расстояния (5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Как робот узнаёт расстояние до препятствия.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Программируем остановку и объезд препятствия. Форма контроля: мини-соревнование.</w:t>
      </w:r>
    </w:p>
    <w:p>
      <w:pPr>
        <w:pStyle w:val="KpBody"/>
      </w:pPr>
      <w:r>
        <w:rPr>
          <w:b/>
        </w:rPr>
        <w:t xml:space="preserve">Тема 4.4. Датчик касания и датчик касания со светодиодом (5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Касание как сигнал для программы; световой сигнал робота.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Запуск и остановка программы касанием, сигнализация светодиодом. Форма контроля: практическое задание.</w:t>
      </w:r>
    </w:p>
    <w:p>
      <w:pPr>
        <w:pStyle w:val="KpBody"/>
      </w:pPr>
      <w:r>
        <w:rPr>
          <w:b/>
        </w:rPr>
        <w:t xml:space="preserve">Тема 4.5. Оптический датчик (5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Принцип работы оптического датчика.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Программа, в которой робот реагирует на показания оптического датчика. Форма контроля: практическое задание.</w:t>
      </w:r>
    </w:p>
    <w:p>
      <w:pPr>
        <w:pStyle w:val="Heading3"/>
      </w:pPr>
      <w:r>
        <w:t xml:space="preserve">Раздел 5. Проектная деятельность (10 часов)</w:t>
      </w:r>
    </w:p>
    <w:p>
      <w:pPr>
        <w:pStyle w:val="KpBody"/>
      </w:pPr>
      <w:r>
        <w:t xml:space="preserve">Собственный проект: от идеи и плана до испытаний и подготовки к защите.</w:t>
      </w:r>
    </w:p>
    <w:p>
      <w:pPr>
        <w:pStyle w:val="KpBody"/>
      </w:pPr>
      <w:r>
        <w:rPr>
          <w:b/>
        </w:rPr>
        <w:t xml:space="preserve">Тема 5.1. Идея и план проекта (3 часа).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Как выбрать тему проекта; цель, задачи и план работы, распределение ролей в команде. Примеры тем: робот-помощник, модель механизма из жизни, робот для соревнования.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Выбираем тему, составляем план и эскиз. Форма контроля: обсуждение плана.</w:t>
      </w:r>
    </w:p>
    <w:p>
      <w:pPr>
        <w:pStyle w:val="KpBody"/>
      </w:pPr>
      <w:r>
        <w:rPr>
          <w:b/>
        </w:rPr>
        <w:t xml:space="preserve">Тема 5.2. Создание проекта (5 часов).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Консультации по ходу работы.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Собираем, программируем, испытываем и дорабатываем проект. Форма контроля: наблюдение, промежуточный показ.</w:t>
      </w:r>
    </w:p>
    <w:p>
      <w:pPr>
        <w:pStyle w:val="KpBody"/>
      </w:pPr>
      <w:r>
        <w:rPr>
          <w:b/>
        </w:rPr>
        <w:t xml:space="preserve">Тема 5.3. Подготовка к защите (2 часа).</w:t>
      </w:r>
    </w:p>
    <w:p>
      <w:pPr>
        <w:pStyle w:val="KpBody"/>
      </w:pPr>
      <w:r>
        <w:rPr>
          <w:b/>
        </w:rPr>
        <w:t xml:space="preserve">Теория: </w:t>
      </w:r>
      <w:r>
        <w:t xml:space="preserve">Как рассказать о проекте: структура выступления и демонстрация.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Готовим выступление и демонстрацию, репетируем. Форма контроля: предварительная защита.</w:t>
      </w:r>
    </w:p>
    <w:p>
      <w:pPr>
        <w:pStyle w:val="Heading3"/>
      </w:pPr>
      <w:r>
        <w:t xml:space="preserve">Раздел 6. Итоговое занятие (2 часа)</w:t>
      </w:r>
    </w:p>
    <w:p>
      <w:pPr>
        <w:pStyle w:val="KpBody"/>
      </w:pPr>
      <w:r>
        <w:t xml:space="preserve">Итоговая аттестация и подведение итогов года.</w:t>
      </w:r>
    </w:p>
    <w:p>
      <w:pPr>
        <w:pStyle w:val="KpBody"/>
      </w:pPr>
      <w:r>
        <w:rPr>
          <w:b/>
        </w:rPr>
        <w:t xml:space="preserve">Тема 6.1. Итоговая аттестация (2 часа).</w:t>
      </w:r>
    </w:p>
    <w:p>
      <w:pPr>
        <w:pStyle w:val="KpBody"/>
      </w:pPr>
      <w:r>
        <w:rPr>
          <w:b/>
        </w:rPr>
        <w:t xml:space="preserve">Практика: </w:t>
      </w:r>
      <w:r>
        <w:t xml:space="preserve">Выставка и защита проектов, соревнования моделей; подведение итогов года. Форма контроля: итоговая аттестация: выставка и защита проектов, соревнования моделей.</w:t>
      </w:r>
    </w:p>
    <w:p>
      <w:pPr>
        <w:pStyle w:val="Heading1"/>
      </w:pPr>
      <w:r>
        <w:t xml:space="preserve">5. Воспитание</w:t>
      </w:r>
    </w:p>
    <w:p>
      <w:pPr>
        <w:pStyle w:val="KpBody"/>
      </w:pPr>
      <w:r>
        <w:rPr>
          <w:b/>
        </w:rPr>
        <w:t xml:space="preserve">Цель: </w:t>
      </w:r>
      <w:r>
        <w:t xml:space="preserve">создать условия для личностного развития обучающихся: интереса к технике и инженерным профессиям, ответственности, умения работать в команде, уважения к отечественной науке и технике.</w:t>
      </w:r>
    </w:p>
    <w:p>
      <w:pPr>
        <w:pStyle w:val="KpBody"/>
      </w:pPr>
      <w:r>
        <w:rPr>
          <w:b/>
        </w:rPr>
        <w:t xml:space="preserve">Задачи:</w:t>
      </w:r>
    </w:p>
    <w:p>
      <w:pPr>
        <w:pStyle w:val="KpList"/>
      </w:pPr>
      <w:r>
        <w:t xml:space="preserve">– </w:t>
      </w:r>
      <w:r>
        <w:t xml:space="preserve">воспитывать аккуратность, ответственность и бережное отношение к оборудованию;</w:t>
      </w:r>
    </w:p>
    <w:p>
      <w:pPr>
        <w:pStyle w:val="KpList"/>
      </w:pPr>
      <w:r>
        <w:t xml:space="preserve">– </w:t>
      </w:r>
      <w:r>
        <w:t xml:space="preserve">воспитывать умение работать в команде и уважение к мнению товарищей;</w:t>
      </w:r>
    </w:p>
    <w:p>
      <w:pPr>
        <w:pStyle w:val="KpList"/>
      </w:pPr>
      <w:r>
        <w:t xml:space="preserve">– </w:t>
      </w:r>
      <w:r>
        <w:t xml:space="preserve">формировать интерес к инженерным профессиям и уважение к отечественной науке и технике.</w:t>
      </w:r>
    </w:p>
    <w:p>
      <w:pPr>
        <w:pStyle w:val="KpBody"/>
      </w:pPr>
      <w:r>
        <w:rPr>
          <w:b/>
        </w:rPr>
        <w:t xml:space="preserve">Целевые ориентиры: </w:t>
      </w:r>
      <w:r>
        <w:t xml:space="preserve">обучающиеся проявляют интерес к технике, инженерным и рабочим профессиям; аккуратно и бережно обращаются с оборудованием, соблюдают правила безопасности; ответственно относятся к общему результату команды; уважают труд и достижения отечественной науки и техники.</w:t>
      </w:r>
    </w:p>
    <w:p>
      <w:pPr>
        <w:pStyle w:val="KpBody"/>
      </w:pPr>
      <w:r>
        <w:rPr>
          <w:b/>
        </w:rPr>
        <w:t xml:space="preserve">Формы и методы: </w:t>
      </w:r>
      <w:r>
        <w:t xml:space="preserve">командная работа над моделями и проектами, беседы о профессиях и истории техники, соревнования, выставки и открытые занятия для родителей, участие в конкурсах. В работе объединения и в мероприятиях могут участвовать родители (пп. 19, 21 Порядка).</w:t>
      </w:r>
    </w:p>
    <w:p>
      <w:pPr>
        <w:pStyle w:val="KpBody"/>
      </w:pPr>
      <w:r>
        <w:rPr>
          <w:b/>
        </w:rPr>
        <w:t xml:space="preserve">Анализ результатов: </w:t>
      </w:r>
      <w:r>
        <w:t xml:space="preserve">педагогическое наблюдение, беседы в начале и в конце учебного года, отзывы родителей. Методические рекомендации по разделу о воспитании разработаны ФГБНУ «Институт изучения детства, семьи и воспитания» (ссылка — в разделе 10).</w:t>
      </w:r>
    </w:p>
    <w:p>
      <w:pPr>
        <w:pStyle w:val="Heading3"/>
      </w:pPr>
      <w:r>
        <w:t xml:space="preserve">Календарный план воспитательной работы</w:t>
      </w:r>
    </w:p>
    <w:tbl>
      <w:tblPr>
        <w:tblStyle w:val="KpTable"/>
        <w:tblW w:w="9355" w:type="dxa"/>
        <w:tblLayout w:type="fixed"/>
        <w:tblLook w:val="04A0" w:firstRow="1" w:lastRow="0" w:firstColumn="0" w:lastColumn="0" w:noHBand="1" w:noVBand="1"/>
      </w:tblPr>
      <w:tblGrid>
        <w:gridCol w:w="1504"/>
        <w:gridCol w:w="4866"/>
        <w:gridCol w:w="2985"/>
      </w:tblGrid>
      <w:tr>
        <w:trPr>
          <w:tblHeader/>
          <w:cantSplit/>
        </w:trPr>
        <w:tc>
          <w:tcPr>
            <w:tcW w:w="1504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Срок</w:t>
            </w:r>
          </w:p>
        </w:tc>
        <w:tc>
          <w:tcPr>
            <w:tcW w:w="4866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Мероприятие</w:t>
            </w:r>
          </w:p>
        </w:tc>
        <w:tc>
          <w:tcPr>
            <w:tcW w:w="2985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Форма</w:t>
            </w:r>
          </w:p>
        </w:tc>
      </w:tr>
      <w:tr>
        <w:trPr>
          <w:cantSplit/>
        </w:trPr>
        <w:tc>
          <w:tcPr>
            <w:tcW w:w="150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Сентябрь</w:t>
            </w:r>
          </w:p>
        </w:tc>
        <w:tc>
          <w:tcPr>
            <w:tcW w:w="4866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Знакомство с объединением: правила кабинета и техника безопасности</w:t>
            </w:r>
          </w:p>
        </w:tc>
        <w:tc>
          <w:tcPr>
            <w:tcW w:w="2985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Беседа, игра на знакомство</w:t>
            </w:r>
          </w:p>
        </w:tc>
      </w:tr>
      <w:tr>
        <w:trPr>
          <w:cantSplit/>
        </w:trPr>
        <w:tc>
          <w:tcPr>
            <w:tcW w:w="150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Октябрь</w:t>
            </w:r>
          </w:p>
        </w:tc>
        <w:tc>
          <w:tcPr>
            <w:tcW w:w="4866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Профессии в технике: кто создаёт и обслуживает роботов и умные устройства</w:t>
            </w:r>
          </w:p>
        </w:tc>
        <w:tc>
          <w:tcPr>
            <w:tcW w:w="2985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Беседа, видеоэкскурсия</w:t>
            </w:r>
          </w:p>
        </w:tc>
      </w:tr>
      <w:tr>
        <w:trPr>
          <w:cantSplit/>
        </w:trPr>
        <w:tc>
          <w:tcPr>
            <w:tcW w:w="150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Декабрь</w:t>
            </w:r>
          </w:p>
        </w:tc>
        <w:tc>
          <w:tcPr>
            <w:tcW w:w="4866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Открытое занятие для родителей</w:t>
            </w:r>
          </w:p>
        </w:tc>
        <w:tc>
          <w:tcPr>
            <w:tcW w:w="2985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Показ моделей и проектов</w:t>
            </w:r>
          </w:p>
        </w:tc>
      </w:tr>
      <w:tr>
        <w:trPr>
          <w:cantSplit/>
        </w:trPr>
        <w:tc>
          <w:tcPr>
            <w:tcW w:w="150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Февраль</w:t>
            </w:r>
          </w:p>
        </w:tc>
        <w:tc>
          <w:tcPr>
            <w:tcW w:w="4866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День российской науки (8 февраля)</w:t>
            </w:r>
          </w:p>
        </w:tc>
        <w:tc>
          <w:tcPr>
            <w:tcW w:w="2985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Тематическое занятие</w:t>
            </w:r>
          </w:p>
        </w:tc>
      </w:tr>
      <w:tr>
        <w:trPr>
          <w:cantSplit/>
        </w:trPr>
        <w:tc>
          <w:tcPr>
            <w:tcW w:w="150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Апрель</w:t>
            </w:r>
          </w:p>
        </w:tc>
        <w:tc>
          <w:tcPr>
            <w:tcW w:w="4866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День космонавтики (12 апреля)</w:t>
            </w:r>
          </w:p>
        </w:tc>
        <w:tc>
          <w:tcPr>
            <w:tcW w:w="2985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Тематическое занятие, конкурс моделей</w:t>
            </w:r>
          </w:p>
        </w:tc>
      </w:tr>
      <w:tr>
        <w:trPr>
          <w:cantSplit/>
        </w:trPr>
        <w:tc>
          <w:tcPr>
            <w:tcW w:w="150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Май</w:t>
            </w:r>
          </w:p>
        </w:tc>
        <w:tc>
          <w:tcPr>
            <w:tcW w:w="4866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Итоговое мероприятие объединения</w:t>
            </w:r>
          </w:p>
        </w:tc>
        <w:tc>
          <w:tcPr>
            <w:tcW w:w="2985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Выставка и защита проектов</w:t>
            </w:r>
          </w:p>
        </w:tc>
      </w:tr>
      <w:tr>
        <w:trPr>
          <w:cantSplit/>
        </w:trPr>
        <w:tc>
          <w:tcPr>
            <w:tcW w:w="150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В течение года</w:t>
            </w:r>
          </w:p>
        </w:tc>
        <w:tc>
          <w:tcPr>
            <w:tcW w:w="4866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Соревнования и конкурсы технической направленности, в том числе из перечня Минпросвещения России</w:t>
            </w:r>
          </w:p>
        </w:tc>
        <w:tc>
          <w:tcPr>
            <w:tcW w:w="2985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Участие команд</w:t>
            </w:r>
          </w:p>
        </w:tc>
      </w:tr>
    </w:tbl>
    <w:p>
      <w:pPr>
        <w:spacing w:after="0"/>
      </w:pPr>
    </w:p>
    <w:p>
      <w:pPr>
        <w:pStyle w:val="Heading1"/>
      </w:pPr>
      <w:r>
        <w:t xml:space="preserve">6. Планируемые результаты</w:t>
      </w:r>
    </w:p>
    <w:p>
      <w:pPr>
        <w:pStyle w:val="Heading2"/>
      </w:pPr>
      <w:r>
        <w:t xml:space="preserve">По итогам обучения</w:t>
      </w:r>
    </w:p>
    <w:p>
      <w:pPr>
        <w:pStyle w:val="KpBody"/>
      </w:pPr>
      <w:r>
        <w:rPr>
          <w:b/>
        </w:rPr>
        <w:t xml:space="preserve">В области обучения. Предметные результаты — обучающиеся:</w:t>
      </w:r>
    </w:p>
    <w:p>
      <w:pPr>
        <w:pStyle w:val="KpList"/>
      </w:pPr>
      <w:r>
        <w:t xml:space="preserve">– </w:t>
      </w:r>
      <w:r>
        <w:t xml:space="preserve">знают названия и назначение основных деталей набора, правила безопасной работы;</w:t>
      </w:r>
    </w:p>
    <w:p>
      <w:pPr>
        <w:pStyle w:val="KpList"/>
      </w:pPr>
      <w:r>
        <w:t xml:space="preserve">– </w:t>
      </w:r>
      <w:r>
        <w:t xml:space="preserve">собирают модель по схеме и запускают её программу;</w:t>
      </w:r>
    </w:p>
    <w:p>
      <w:pPr>
        <w:pStyle w:val="KpList"/>
      </w:pPr>
      <w:r>
        <w:t xml:space="preserve">– </w:t>
      </w:r>
      <w:r>
        <w:t xml:space="preserve">объясняют, как в модели передаётся движение от мотора к колёсам и механизмам;</w:t>
      </w:r>
    </w:p>
    <w:p>
      <w:pPr>
        <w:pStyle w:val="KpList"/>
      </w:pPr>
      <w:r>
        <w:t xml:space="preserve">– </w:t>
      </w:r>
      <w:r>
        <w:t xml:space="preserve">составляют программы с повторениями и условиями, используют показания датчиков;</w:t>
      </w:r>
    </w:p>
    <w:p>
      <w:pPr>
        <w:pStyle w:val="KpList"/>
      </w:pPr>
      <w:r>
        <w:t xml:space="preserve">– </w:t>
      </w:r>
      <w:r>
        <w:t xml:space="preserve">придумывают и собирают модель под задачу, проверяют и улучшают её.</w:t>
      </w:r>
    </w:p>
    <w:p>
      <w:pPr>
        <w:pStyle w:val="KpBody"/>
      </w:pPr>
      <w:r>
        <w:rPr>
          <w:b/>
        </w:rPr>
        <w:t xml:space="preserve">Метапредметные результаты — обучающиеся:</w:t>
      </w:r>
    </w:p>
    <w:p>
      <w:pPr>
        <w:pStyle w:val="KpList"/>
      </w:pPr>
      <w:r>
        <w:t xml:space="preserve">– </w:t>
      </w:r>
      <w:r>
        <w:t xml:space="preserve">планируют работу: разбивают задачу на шаги и распределяют время;</w:t>
      </w:r>
    </w:p>
    <w:p>
      <w:pPr>
        <w:pStyle w:val="KpList"/>
      </w:pPr>
      <w:r>
        <w:t xml:space="preserve">– </w:t>
      </w:r>
      <w:r>
        <w:t xml:space="preserve">находят и исправляют ошибки в конструкции, программе или схеме;</w:t>
      </w:r>
    </w:p>
    <w:p>
      <w:pPr>
        <w:pStyle w:val="KpList"/>
      </w:pPr>
      <w:r>
        <w:t xml:space="preserve">– </w:t>
      </w:r>
      <w:r>
        <w:t xml:space="preserve">работают в паре и группе: договариваются, распределяют роли, помогают друг другу;</w:t>
      </w:r>
    </w:p>
    <w:p>
      <w:pPr>
        <w:pStyle w:val="KpList"/>
      </w:pPr>
      <w:r>
        <w:t xml:space="preserve">– </w:t>
      </w:r>
      <w:r>
        <w:t xml:space="preserve">читают инструкции, схемы и описания, находят нужную информацию;</w:t>
      </w:r>
    </w:p>
    <w:p>
      <w:pPr>
        <w:pStyle w:val="KpList"/>
      </w:pPr>
      <w:r>
        <w:t xml:space="preserve">– </w:t>
      </w:r>
      <w:r>
        <w:t xml:space="preserve">представляют результат: объясняют устройство и работу своей модели, отвечают на вопросы.</w:t>
      </w:r>
    </w:p>
    <w:p>
      <w:pPr>
        <w:pStyle w:val="KpBody"/>
      </w:pPr>
      <w:r>
        <w:rPr>
          <w:b/>
        </w:rPr>
        <w:t xml:space="preserve">В области воспитания. Личностные результаты — обучающиеся:</w:t>
      </w:r>
    </w:p>
    <w:p>
      <w:pPr>
        <w:pStyle w:val="KpList"/>
      </w:pPr>
      <w:r>
        <w:t xml:space="preserve">– </w:t>
      </w:r>
      <w:r>
        <w:t xml:space="preserve">проявляют интерес к технике, инженерным и рабочим профессиям;</w:t>
      </w:r>
    </w:p>
    <w:p>
      <w:pPr>
        <w:pStyle w:val="KpList"/>
      </w:pPr>
      <w:r>
        <w:t xml:space="preserve">– </w:t>
      </w:r>
      <w:r>
        <w:t xml:space="preserve">аккуратно и бережно обращаются с оборудованием, соблюдают правила безопасности;</w:t>
      </w:r>
    </w:p>
    <w:p>
      <w:pPr>
        <w:pStyle w:val="KpList"/>
      </w:pPr>
      <w:r>
        <w:t xml:space="preserve">– </w:t>
      </w:r>
      <w:r>
        <w:t xml:space="preserve">ответственно относятся к общему результату команды;</w:t>
      </w:r>
    </w:p>
    <w:p>
      <w:pPr>
        <w:pStyle w:val="KpList"/>
      </w:pPr>
      <w:r>
        <w:t xml:space="preserve">– </w:t>
      </w:r>
      <w:r>
        <w:t xml:space="preserve">уважают труд и достижения отечественной науки и техники.</w:t>
      </w:r>
    </w:p>
    <w:p>
      <w:pPr>
        <w:pStyle w:val="Heading1"/>
      </w:pPr>
      <w:r>
        <w:t xml:space="preserve">7. Ресурсное обеспечение (условия реализации)</w:t>
      </w:r>
    </w:p>
    <w:p>
      <w:pPr>
        <w:pStyle w:val="Heading2"/>
      </w:pPr>
      <w:r>
        <w:t xml:space="preserve">Материально-техническое обеспечение</w:t>
      </w:r>
    </w:p>
    <w:p>
      <w:pPr>
        <w:pStyle w:val="KpBody"/>
      </w:pPr>
      <w:r>
        <w:rPr>
          <w:b/>
        </w:rPr>
        <w:t xml:space="preserve">Помещение: </w:t>
      </w:r>
      <w:r>
        <w:t xml:space="preserve">учебный кабинет со столами для сборки, свободной зоной для испытаний и соревновательным полем; требования — СП 2.4.2.4283-26.</w:t>
      </w:r>
    </w:p>
    <w:p>
      <w:pPr>
        <w:pStyle w:val="KpBody"/>
      </w:pPr>
      <w:r>
        <w:t xml:space="preserve">Оборудование на группу из 12 обучающихся:</w:t>
      </w:r>
    </w:p>
    <w:tbl>
      <w:tblPr>
        <w:tblStyle w:val="KpTable"/>
        <w:tblW w:w="9355" w:type="dxa"/>
        <w:tblLayout w:type="fixed"/>
        <w:tblLook w:val="04A0" w:firstRow="1" w:lastRow="0" w:firstColumn="0" w:lastColumn="0" w:noHBand="1" w:noVBand="1"/>
      </w:tblPr>
      <w:tblGrid>
        <w:gridCol w:w="358"/>
        <w:gridCol w:w="5904"/>
        <w:gridCol w:w="998"/>
        <w:gridCol w:w="983"/>
        <w:gridCol w:w="1112"/>
      </w:tblGrid>
      <w:tr>
        <w:trPr>
          <w:tblHeader/>
          <w:cantSplit/>
        </w:trPr>
        <w:tc>
          <w:tcPr>
            <w:tcW w:w="358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№</w:t>
            </w:r>
          </w:p>
        </w:tc>
        <w:tc>
          <w:tcPr>
            <w:tcW w:w="5904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Наименование</w:t>
            </w:r>
          </w:p>
        </w:tc>
        <w:tc>
          <w:tcPr>
            <w:tcW w:w="998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Кол-во</w:t>
            </w:r>
          </w:p>
        </w:tc>
        <w:tc>
          <w:tcPr>
            <w:tcW w:w="983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Цена, ₽</w:t>
            </w:r>
          </w:p>
        </w:tc>
        <w:tc>
          <w:tcPr>
            <w:tcW w:w="1112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Сумма, ₽</w:t>
            </w:r>
          </w:p>
        </w:tc>
      </w:tr>
      <w:tr>
        <w:trPr>
          <w:cantSplit/>
        </w:trPr>
        <w:tc>
          <w:tcPr>
            <w:tcW w:w="358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1</w:t>
            </w:r>
          </w:p>
        </w:tc>
        <w:tc>
          <w:tcPr>
            <w:tcW w:w="5904" w:type="dxa"/>
          </w:tcPr>
          <w:p>
            <w:pPr>
              <w:pStyle w:val="KpCell"/>
              <w:jc w:val="left"/>
            </w:pPr>
            <w:hyperlink r:id="rIdL1" w:history="1">
              <w:r>
                <w:rPr>
                  <w:rStyle w:val="Hyperlink"/>
                  <w:sz w:val="22"/>
                </w:rPr>
                <w:t xml:space="preserve">228-8899-10 VEX IQ Набор Супер Кит/Super Kit (2-е поколение Gen 2)</w:t>
              </w:r>
            </w:hyperlink>
            <w:r>
              <w:rPr>
                <w:sz w:val="22"/>
              </w:rPr>
              <w:t xml:space="preserve"> — из расчёта один набор на двух учащихся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6</w:t>
            </w:r>
          </w:p>
        </w:tc>
        <w:tc>
          <w:tcPr>
            <w:tcW w:w="983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100 800</w:t>
            </w:r>
          </w:p>
        </w:tc>
        <w:tc>
          <w:tcPr>
            <w:tcW w:w="1112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604 800</w:t>
            </w:r>
          </w:p>
        </w:tc>
      </w:tr>
      <w:tr>
        <w:trPr>
          <w:cantSplit/>
        </w:trPr>
        <w:tc>
          <w:tcPr>
            <w:tcW w:w="358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2</w:t>
            </w:r>
          </w:p>
        </w:tc>
        <w:tc>
          <w:tcPr>
            <w:tcW w:w="590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Компьютер, планшет или телефон для программирования и управления</w:t>
            </w:r>
          </w:p>
        </w:tc>
        <w:tc>
          <w:tcPr>
            <w:tcW w:w="998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6</w:t>
            </w:r>
          </w:p>
        </w:tc>
        <w:tc>
          <w:tcPr>
            <w:tcW w:w="983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—</w:t>
            </w:r>
          </w:p>
        </w:tc>
        <w:tc>
          <w:tcPr>
            <w:tcW w:w="1112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58" w:type="dxa"/>
            <w:shd w:val="clear" w:color="auto" w:fill="F7F7F7"/>
          </w:tcPr>
          <w:p>
            <w:pPr>
              <w:pStyle w:val="KpCell"/>
              <w:jc w:val="left"/>
            </w:pPr>
          </w:p>
        </w:tc>
        <w:tc>
          <w:tcPr>
            <w:tcW w:w="5904" w:type="dxa"/>
            <w:shd w:val="clear" w:color="auto" w:fill="F7F7F7"/>
          </w:tcPr>
          <w:p>
            <w:pPr>
              <w:pStyle w:val="KpCell"/>
              <w:jc w:val="left"/>
            </w:pPr>
            <w:r>
              <w:rPr>
                <w:b/>
                <w:sz w:val="22"/>
              </w:rPr>
              <w:t xml:space="preserve">Итого оборудование по программе</w:t>
            </w:r>
          </w:p>
        </w:tc>
        <w:tc>
          <w:tcPr>
            <w:tcW w:w="998" w:type="dxa"/>
            <w:shd w:val="clear" w:color="auto" w:fill="F7F7F7"/>
          </w:tcPr>
          <w:p>
            <w:pPr>
              <w:pStyle w:val="KpCell"/>
              <w:jc w:val="center"/>
            </w:pPr>
          </w:p>
        </w:tc>
        <w:tc>
          <w:tcPr>
            <w:tcW w:w="983" w:type="dxa"/>
            <w:shd w:val="clear" w:color="auto" w:fill="F7F7F7"/>
          </w:tcPr>
          <w:p>
            <w:pPr>
              <w:pStyle w:val="KpCell"/>
              <w:jc w:val="center"/>
            </w:pPr>
          </w:p>
        </w:tc>
        <w:tc>
          <w:tcPr>
            <w:tcW w:w="1112" w:type="dxa"/>
            <w:shd w:val="clear" w:color="auto" w:fill="F7F7F7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604 800</w:t>
            </w:r>
          </w:p>
        </w:tc>
      </w:tr>
    </w:tbl>
    <w:p>
      <w:pPr>
        <w:spacing w:after="0"/>
      </w:pPr>
    </w:p>
    <w:p>
      <w:pPr>
        <w:pStyle w:val="KpBody"/>
      </w:pPr>
      <w:r>
        <w:t xml:space="preserve">Цены — по каталогу классробототехники.рф на дату составления программы; для закупки их уточняют в коммерческом предложении.</w:t>
      </w:r>
    </w:p>
    <w:p>
      <w:pPr>
        <w:pStyle w:val="KpBody"/>
      </w:pPr>
      <w:r>
        <w:rPr>
          <w:b/>
        </w:rPr>
        <w:t xml:space="preserve">Общее оснащение: </w:t>
      </w:r>
      <w:r>
        <w:t xml:space="preserve">столы и стулья по числу обучающихся, рабочее место педагога, шкафы или стеллажи для хранения наборов, проектор или интерактивная панель.</w:t>
      </w:r>
    </w:p>
    <w:p>
      <w:pPr>
        <w:pStyle w:val="Heading2"/>
      </w:pPr>
      <w:r>
        <w:t xml:space="preserve">Кадровое обеспечение</w:t>
      </w:r>
    </w:p>
    <w:p>
      <w:pPr>
        <w:pStyle w:val="KpBody"/>
      </w:pPr>
      <w:r>
        <w:t xml:space="preserve">Программу реализует педагог дополнительного образования со средним профессиональным или высшим образованием, отвечающий квалификационным требованиям и (или) профессиональному стандарту «Педагог дополнительного образования детей и взрослых» (п. 20 Порядка). Педагогу рекомендуется пройти обучение работе с оборудованием программы.</w:t>
      </w:r>
    </w:p>
    <w:p>
      <w:pPr>
        <w:pStyle w:val="Heading2"/>
      </w:pPr>
      <w:r>
        <w:t xml:space="preserve">Информационно-методическое обеспечение</w:t>
      </w:r>
    </w:p>
    <w:p>
      <w:pPr>
        <w:pStyle w:val="KpList"/>
      </w:pPr>
      <w:r>
        <w:t xml:space="preserve">– </w:t>
      </w:r>
      <w:r>
        <w:t xml:space="preserve">схемы сборки, карточки-задания и памятки по технике безопасности, подготовленные педагогом;</w:t>
      </w:r>
    </w:p>
    <w:p>
      <w:pPr>
        <w:pStyle w:val="KpList"/>
      </w:pPr>
      <w:r>
        <w:t xml:space="preserve">– </w:t>
      </w:r>
      <w:r>
        <w:t xml:space="preserve">презентации и видеоматериалы к темам, положения (регламенты) соревнований и конкурсов.</w:t>
      </w:r>
    </w:p>
    <w:p>
      <w:pPr>
        <w:pStyle w:val="Heading1"/>
      </w:pPr>
      <w:r>
        <w:t xml:space="preserve">8. Формы аттестации и оценочные материалы</w:t>
      </w:r>
    </w:p>
    <w:p>
      <w:pPr>
        <w:pStyle w:val="KpBody"/>
      </w:pPr>
      <w:r>
        <w:t xml:space="preserve">Формы, порядок и периодичность аттестации определяет организация (п. 23 Порядка). В программе предусмотрены:</w:t>
      </w:r>
    </w:p>
    <w:p>
      <w:pPr>
        <w:pStyle w:val="KpList"/>
      </w:pPr>
      <w:r>
        <w:t xml:space="preserve">– </w:t>
      </w:r>
      <w:r>
        <w:rPr>
          <w:b/>
        </w:rPr>
        <w:t xml:space="preserve">входная диагностика</w:t>
      </w:r>
      <w:r>
        <w:t xml:space="preserve"> (сентябрь) — беседа и практическое задание, чтобы узнать стартовый уровень;</w:t>
      </w:r>
    </w:p>
    <w:p>
      <w:pPr>
        <w:pStyle w:val="KpList"/>
      </w:pPr>
      <w:r>
        <w:t xml:space="preserve">– </w:t>
      </w:r>
      <w:r>
        <w:rPr>
          <w:b/>
        </w:rPr>
        <w:t xml:space="preserve">текущий контроль</w:t>
      </w:r>
      <w:r>
        <w:t xml:space="preserve"> (на занятиях) — педагогическое наблюдение, практические задания, мини-соревнования (формы — в учебном плане);</w:t>
      </w:r>
    </w:p>
    <w:p>
      <w:pPr>
        <w:pStyle w:val="KpList"/>
      </w:pPr>
      <w:r>
        <w:t xml:space="preserve">– </w:t>
      </w:r>
      <w:r>
        <w:rPr>
          <w:b/>
        </w:rPr>
        <w:t xml:space="preserve">промежуточная аттестация</w:t>
      </w:r>
      <w:r>
        <w:t xml:space="preserve"> (декабрь) — контрольное задание по пройденным разделам;</w:t>
      </w:r>
    </w:p>
    <w:p>
      <w:pPr>
        <w:pStyle w:val="KpList"/>
      </w:pPr>
      <w:r>
        <w:t xml:space="preserve">– </w:t>
      </w:r>
      <w:r>
        <w:rPr>
          <w:b/>
        </w:rPr>
        <w:t xml:space="preserve">итоговая аттестация</w:t>
      </w:r>
      <w:r>
        <w:t xml:space="preserve"> (май) — выставка и защита проектов, соревнования моделей.</w:t>
      </w:r>
    </w:p>
    <w:p>
      <w:pPr>
        <w:pStyle w:val="Heading2"/>
      </w:pPr>
      <w:r>
        <w:t xml:space="preserve">Критерии оценки</w:t>
      </w:r>
    </w:p>
    <w:tbl>
      <w:tblPr>
        <w:tblStyle w:val="KpTable"/>
        <w:tblW w:w="9355" w:type="dxa"/>
        <w:tblLayout w:type="fixed"/>
        <w:tblLook w:val="04A0" w:firstRow="1" w:lastRow="0" w:firstColumn="0" w:lastColumn="0" w:noHBand="1" w:noVBand="1"/>
      </w:tblPr>
      <w:tblGrid>
        <w:gridCol w:w="2670"/>
        <w:gridCol w:w="2550"/>
        <w:gridCol w:w="2003"/>
        <w:gridCol w:w="2132"/>
      </w:tblGrid>
      <w:tr>
        <w:trPr>
          <w:tblHeader/>
          <w:cantSplit/>
        </w:trPr>
        <w:tc>
          <w:tcPr>
            <w:tcW w:w="2670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Показатель</w:t>
            </w:r>
          </w:p>
        </w:tc>
        <w:tc>
          <w:tcPr>
            <w:tcW w:w="2550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Высокий уровень — 3 балла</w:t>
            </w:r>
          </w:p>
        </w:tc>
        <w:tc>
          <w:tcPr>
            <w:tcW w:w="2003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Средний уровень — 2 балла</w:t>
            </w:r>
          </w:p>
        </w:tc>
        <w:tc>
          <w:tcPr>
            <w:tcW w:w="2132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Низкий уровень — 1 балл</w:t>
            </w:r>
          </w:p>
        </w:tc>
      </w:tr>
      <w:tr>
        <w:trPr>
          <w:cantSplit/>
        </w:trPr>
        <w:tc>
          <w:tcPr>
            <w:tcW w:w="267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Теоретические знания</w:t>
            </w:r>
          </w:p>
        </w:tc>
        <w:tc>
          <w:tcPr>
            <w:tcW w:w="255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Свободно объясняет термины и принципы работы, приводит свои примеры</w:t>
            </w:r>
          </w:p>
        </w:tc>
        <w:tc>
          <w:tcPr>
            <w:tcW w:w="2003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Объясняет с подсказками педагога</w:t>
            </w:r>
          </w:p>
        </w:tc>
        <w:tc>
          <w:tcPr>
            <w:tcW w:w="213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Называет отдельные термины, объяснить не может</w:t>
            </w:r>
          </w:p>
        </w:tc>
      </w:tr>
      <w:tr>
        <w:trPr>
          <w:cantSplit/>
        </w:trPr>
        <w:tc>
          <w:tcPr>
            <w:tcW w:w="267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Практические умения (сборка и программирование модели)</w:t>
            </w:r>
          </w:p>
        </w:tc>
        <w:tc>
          <w:tcPr>
            <w:tcW w:w="255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Выполняет задание самостоятельно и без ошибок</w:t>
            </w:r>
          </w:p>
        </w:tc>
        <w:tc>
          <w:tcPr>
            <w:tcW w:w="2003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Выполняет с отдельными ошибками, исправляет с помощью педагога</w:t>
            </w:r>
          </w:p>
        </w:tc>
        <w:tc>
          <w:tcPr>
            <w:tcW w:w="213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Выполняет только по образцу и с помощью</w:t>
            </w:r>
          </w:p>
        </w:tc>
      </w:tr>
      <w:tr>
        <w:trPr>
          <w:cantSplit/>
        </w:trPr>
        <w:tc>
          <w:tcPr>
            <w:tcW w:w="267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Самостоятельность</w:t>
            </w:r>
          </w:p>
        </w:tc>
        <w:tc>
          <w:tcPr>
            <w:tcW w:w="255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Сам планирует работу и находит ошибки</w:t>
            </w:r>
          </w:p>
        </w:tc>
        <w:tc>
          <w:tcPr>
            <w:tcW w:w="2003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Планирует с помощью педагога</w:t>
            </w:r>
          </w:p>
        </w:tc>
        <w:tc>
          <w:tcPr>
            <w:tcW w:w="213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Нуждается в постоянной помощи</w:t>
            </w:r>
          </w:p>
        </w:tc>
      </w:tr>
      <w:tr>
        <w:trPr>
          <w:cantSplit/>
        </w:trPr>
        <w:tc>
          <w:tcPr>
            <w:tcW w:w="267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Работа в команде</w:t>
            </w:r>
          </w:p>
        </w:tc>
        <w:tc>
          <w:tcPr>
            <w:tcW w:w="255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Договаривается, распределяет роли, помогает другим</w:t>
            </w:r>
          </w:p>
        </w:tc>
        <w:tc>
          <w:tcPr>
            <w:tcW w:w="2003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Работает в команде, но не берёт на себя инициативу</w:t>
            </w:r>
          </w:p>
        </w:tc>
        <w:tc>
          <w:tcPr>
            <w:tcW w:w="213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Работает только индивидуально</w:t>
            </w:r>
          </w:p>
        </w:tc>
      </w:tr>
      <w:tr>
        <w:trPr>
          <w:cantSplit/>
        </w:trPr>
        <w:tc>
          <w:tcPr>
            <w:tcW w:w="267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Проект и его защита</w:t>
            </w:r>
          </w:p>
        </w:tc>
        <w:tc>
          <w:tcPr>
            <w:tcW w:w="2550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Проект работает, автор уверенно объясняет решение и отвечает на вопросы</w:t>
            </w:r>
          </w:p>
        </w:tc>
        <w:tc>
          <w:tcPr>
            <w:tcW w:w="2003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Проект работает частично, объяснение неполное</w:t>
            </w:r>
          </w:p>
        </w:tc>
        <w:tc>
          <w:tcPr>
            <w:tcW w:w="2132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Проект не доведён до работающего состояния</w:t>
            </w:r>
          </w:p>
        </w:tc>
      </w:tr>
    </w:tbl>
    <w:p>
      <w:pPr>
        <w:spacing w:after="0"/>
      </w:pPr>
    </w:p>
    <w:p>
      <w:pPr>
        <w:pStyle w:val="KpBody"/>
      </w:pPr>
      <w:r>
        <w:t xml:space="preserve">Сумма баллов: 13–15 — высокий уровень освоения программы, 9–12 — средний, 5–8 — низкий. Результаты фиксируются в карте педагогического наблюдения или протоколе аттестации.</w:t>
      </w:r>
    </w:p>
    <w:p>
      <w:pPr>
        <w:pStyle w:val="Heading2"/>
      </w:pPr>
      <w:r>
        <w:t xml:space="preserve">Примеры контрольных заданий</w:t>
      </w:r>
    </w:p>
    <w:p>
      <w:pPr>
        <w:pStyle w:val="KpList"/>
      </w:pPr>
      <w:r>
        <w:t xml:space="preserve">1) </w:t>
      </w:r>
      <w:r>
        <w:t xml:space="preserve">Собрать модель по схеме и запустить её программу; рассказать, какие детали и механизмы использованы.</w:t>
      </w:r>
    </w:p>
    <w:p>
      <w:pPr>
        <w:pStyle w:val="KpList"/>
      </w:pPr>
      <w:r>
        <w:t xml:space="preserve">2) </w:t>
      </w:r>
      <w:r>
        <w:t xml:space="preserve">Изменить программу так, чтобы робот реагировал на датчик (останавливался перед препятствием, включался по нажатию).</w:t>
      </w:r>
    </w:p>
    <w:p>
      <w:pPr>
        <w:pStyle w:val="Heading1"/>
      </w:pPr>
      <w:r>
        <w:t xml:space="preserve">9. Методические материалы</w:t>
      </w:r>
    </w:p>
    <w:p>
      <w:pPr>
        <w:pStyle w:val="KpBody"/>
      </w:pPr>
      <w:r>
        <w:rPr>
          <w:b/>
        </w:rPr>
        <w:t xml:space="preserve">Методы обучения: </w:t>
      </w:r>
      <w:r>
        <w:t xml:space="preserve">словесные (объяснение, беседа, рассказ), наглядные (демонстрация моделей, схем и видео), практические (сборка, программирование, испытания); по характеру познавательной деятельности — объяснительно-иллюстративный, репродуктивный, частично-поисковый, исследовательский, проектный.</w:t>
      </w:r>
    </w:p>
    <w:p>
      <w:pPr>
        <w:pStyle w:val="KpBody"/>
      </w:pPr>
      <w:r>
        <w:rPr>
          <w:b/>
        </w:rPr>
        <w:t xml:space="preserve">Педагогические технологии: </w:t>
      </w:r>
      <w:r>
        <w:t xml:space="preserve">проектное обучение, обучение в сотрудничестве (работа в парах и мини-группах), игровые и соревновательные технологии.</w:t>
      </w:r>
    </w:p>
    <w:p>
      <w:pPr>
        <w:pStyle w:val="Heading2"/>
      </w:pPr>
      <w:r>
        <w:t xml:space="preserve">Структура занятия</w:t>
      </w:r>
    </w:p>
    <w:tbl>
      <w:tblPr>
        <w:tblStyle w:val="KpTable"/>
        <w:tblW w:w="9355" w:type="dxa"/>
        <w:tblLayout w:type="fixed"/>
        <w:tblLook w:val="04A0" w:firstRow="1" w:lastRow="0" w:firstColumn="0" w:lastColumn="0" w:noHBand="1" w:noVBand="1"/>
      </w:tblPr>
      <w:tblGrid>
        <w:gridCol w:w="2391"/>
        <w:gridCol w:w="5724"/>
        <w:gridCol w:w="1240"/>
      </w:tblGrid>
      <w:tr>
        <w:trPr>
          <w:tblHeader/>
          <w:cantSplit/>
        </w:trPr>
        <w:tc>
          <w:tcPr>
            <w:tcW w:w="2391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Этап</w:t>
            </w:r>
          </w:p>
        </w:tc>
        <w:tc>
          <w:tcPr>
            <w:tcW w:w="5724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Содержание</w:t>
            </w:r>
          </w:p>
        </w:tc>
        <w:tc>
          <w:tcPr>
            <w:tcW w:w="1240" w:type="dxa"/>
            <w:shd w:val="clear" w:color="auto" w:fill="EDEDED"/>
          </w:tcPr>
          <w:p>
            <w:pPr>
              <w:pStyle w:val="KpCell"/>
              <w:jc w:val="center"/>
            </w:pPr>
            <w:r>
              <w:rPr>
                <w:b/>
                <w:sz w:val="22"/>
              </w:rPr>
              <w:t xml:space="preserve">Время, мин</w:t>
            </w:r>
          </w:p>
        </w:tc>
      </w:tr>
      <w:tr>
        <w:trPr>
          <w:cantSplit/>
        </w:trPr>
        <w:tc>
          <w:tcPr>
            <w:tcW w:w="2391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Организационный</w:t>
            </w:r>
          </w:p>
        </w:tc>
        <w:tc>
          <w:tcPr>
            <w:tcW w:w="572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Приветствие, готовность рабочих мест, напоминание о технике безопасности</w:t>
            </w:r>
          </w:p>
        </w:tc>
        <w:tc>
          <w:tcPr>
            <w:tcW w:w="124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3</w:t>
            </w:r>
          </w:p>
        </w:tc>
      </w:tr>
      <w:tr>
        <w:trPr>
          <w:cantSplit/>
        </w:trPr>
        <w:tc>
          <w:tcPr>
            <w:tcW w:w="2391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Постановка задачи</w:t>
            </w:r>
          </w:p>
        </w:tc>
        <w:tc>
          <w:tcPr>
            <w:tcW w:w="572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Что делаем сегодня и зачем, связь с прошлым занятием</w:t>
            </w:r>
          </w:p>
        </w:tc>
        <w:tc>
          <w:tcPr>
            <w:tcW w:w="124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</w:tr>
      <w:tr>
        <w:trPr>
          <w:cantSplit/>
        </w:trPr>
        <w:tc>
          <w:tcPr>
            <w:tcW w:w="2391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Теория</w:t>
            </w:r>
          </w:p>
        </w:tc>
        <w:tc>
          <w:tcPr>
            <w:tcW w:w="572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Объяснение нового материала, демонстрация</w:t>
            </w:r>
          </w:p>
        </w:tc>
        <w:tc>
          <w:tcPr>
            <w:tcW w:w="124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9</w:t>
            </w:r>
          </w:p>
        </w:tc>
      </w:tr>
      <w:tr>
        <w:trPr>
          <w:cantSplit/>
        </w:trPr>
        <w:tc>
          <w:tcPr>
            <w:tcW w:w="2391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Практическая работа</w:t>
            </w:r>
          </w:p>
        </w:tc>
        <w:tc>
          <w:tcPr>
            <w:tcW w:w="572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Сборка, программирование, испытания, исправление ошибок</w:t>
            </w:r>
          </w:p>
        </w:tc>
        <w:tc>
          <w:tcPr>
            <w:tcW w:w="124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23</w:t>
            </w:r>
          </w:p>
        </w:tc>
      </w:tr>
      <w:tr>
        <w:trPr>
          <w:cantSplit/>
        </w:trPr>
        <w:tc>
          <w:tcPr>
            <w:tcW w:w="2391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Итоги</w:t>
            </w:r>
          </w:p>
        </w:tc>
        <w:tc>
          <w:tcPr>
            <w:tcW w:w="5724" w:type="dxa"/>
          </w:tcPr>
          <w:p>
            <w:pPr>
              <w:pStyle w:val="KpCell"/>
              <w:jc w:val="left"/>
            </w:pPr>
            <w:r>
              <w:rPr>
                <w:sz w:val="22"/>
              </w:rPr>
              <w:t xml:space="preserve">Показ результатов, обсуждение, уборка рабочего места</w:t>
            </w:r>
          </w:p>
        </w:tc>
        <w:tc>
          <w:tcPr>
            <w:tcW w:w="1240" w:type="dxa"/>
          </w:tcPr>
          <w:p>
            <w:pPr>
              <w:pStyle w:val="KpCell"/>
              <w:jc w:val="center"/>
            </w:pPr>
            <w:r>
              <w:rPr>
                <w:sz w:val="22"/>
              </w:rPr>
              <w:t xml:space="preserve">5</w:t>
            </w:r>
          </w:p>
        </w:tc>
      </w:tr>
    </w:tbl>
    <w:p>
      <w:pPr>
        <w:spacing w:after="0"/>
      </w:pPr>
    </w:p>
    <w:p>
      <w:pPr>
        <w:pStyle w:val="KpBody"/>
      </w:pPr>
      <w:r>
        <w:t xml:space="preserve">Время дано на один академический час (45 мин). Если занятие длится два-три часа, теория и практика повторяются циклом, между часами — перерыв не менее 10 минут.</w:t>
      </w:r>
    </w:p>
    <w:p>
      <w:pPr>
        <w:pStyle w:val="Heading2"/>
      </w:pPr>
      <w:r>
        <w:t xml:space="preserve">Работа над проектом</w:t>
      </w:r>
    </w:p>
    <w:p>
      <w:pPr>
        <w:pStyle w:val="KpList"/>
      </w:pPr>
      <w:r>
        <w:t xml:space="preserve">1) </w:t>
      </w:r>
      <w:r>
        <w:t xml:space="preserve">идея: какую задачу решаем и для кого;</w:t>
      </w:r>
    </w:p>
    <w:p>
      <w:pPr>
        <w:pStyle w:val="KpList"/>
      </w:pPr>
      <w:r>
        <w:t xml:space="preserve">2) </w:t>
      </w:r>
      <w:r>
        <w:t xml:space="preserve">план: что нужно сделать, кто за что отвечает, какие детали и программы понадобятся;</w:t>
      </w:r>
    </w:p>
    <w:p>
      <w:pPr>
        <w:pStyle w:val="KpList"/>
      </w:pPr>
      <w:r>
        <w:t xml:space="preserve">3) </w:t>
      </w:r>
      <w:r>
        <w:t xml:space="preserve">создание: сборка, программирование, испытания;</w:t>
      </w:r>
    </w:p>
    <w:p>
      <w:pPr>
        <w:pStyle w:val="KpList"/>
      </w:pPr>
      <w:r>
        <w:t xml:space="preserve">4) </w:t>
      </w:r>
      <w:r>
        <w:t xml:space="preserve">доработка по результатам испытаний;</w:t>
      </w:r>
    </w:p>
    <w:p>
      <w:pPr>
        <w:pStyle w:val="KpList"/>
      </w:pPr>
      <w:r>
        <w:t xml:space="preserve">5) </w:t>
      </w:r>
      <w:r>
        <w:t xml:space="preserve">защита: демонстрация и ответы на вопросы.</w:t>
      </w:r>
    </w:p>
    <w:p>
      <w:pPr>
        <w:pStyle w:val="KpBody"/>
      </w:pPr>
      <w:r>
        <w:rPr>
          <w:b/>
        </w:rPr>
        <w:t xml:space="preserve">Дидактические материалы: </w:t>
      </w:r>
      <w:r>
        <w:t xml:space="preserve">методические материалы из комплектов оборудования (раздел 7), схемы сборки и карточки-задания, памятки по технике безопасности, положения соревнований.</w:t>
      </w:r>
    </w:p>
    <w:p>
      <w:pPr>
        <w:pStyle w:val="Heading1"/>
      </w:pPr>
      <w:r>
        <w:t xml:space="preserve">10. Список литературы и интернет-источников</w:t>
      </w:r>
    </w:p>
    <w:p>
      <w:pPr>
        <w:pStyle w:val="Heading2"/>
      </w:pPr>
      <w:r>
        <w:t xml:space="preserve">Нормативные документы</w:t>
      </w:r>
    </w:p>
    <w:p>
      <w:pPr>
        <w:pStyle w:val="KpList"/>
      </w:pPr>
      <w:r>
        <w:t xml:space="preserve">1) </w:t>
      </w:r>
      <w:r>
        <w:t xml:space="preserve">Об образовании в Российской Федерации : Федеральный закон от 29.12.2012 № 273-ФЗ. — Текст : электронный. — URL: </w:t>
      </w:r>
      <w:hyperlink r:id="rIdL2" w:history="1">
        <w:r>
          <w:rPr>
            <w:rStyle w:val="Hyperlink"/>
          </w:rPr>
          <w:t xml:space="preserve">https://www.consultant.ru/document/cons_doc_LAW_140174/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2) </w:t>
      </w:r>
      <w:r>
        <w:t xml:space="preserve">Об утверждении Порядка организации и осуществления образовательной деятельности по дополнительным общеобразовательным программам : приказ Министерства просвещения Российской Федерации от 27.07.2022 № 629. — Текст : электронный. — URL: </w:t>
      </w:r>
      <w:hyperlink r:id="rIdL3" w:history="1">
        <w:r>
          <w:rPr>
            <w:rStyle w:val="Hyperlink"/>
          </w:rPr>
          <w:t xml:space="preserve">https://www.consultant.ru/document/cons_doc_LAW_427531/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3) </w:t>
      </w:r>
      <w:r>
        <w:t xml:space="preserve">Об утверждении Концепции развития дополнительного образования детей до 2030 г. и плана мероприятий по ее реализации : распоряжение Правительства Российской Федерации от 31.03.2022 № 678-р. — Текст : электронный. — URL: </w:t>
      </w:r>
      <w:hyperlink r:id="rIdL4" w:history="1">
        <w:r>
          <w:rPr>
            <w:rStyle w:val="Hyperlink"/>
          </w:rPr>
          <w:t xml:space="preserve">https://www.garant.ru/products/ipo/prime/doc/403709682/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4) </w:t>
      </w:r>
      <w:r>
        <w:t xml:space="preserve">О внесении изменений в распоряжение Правительства РФ от 31.03.2022 № 678-р и об утверждении Плана мероприятий по реализации Концепции развития дополнительного образования детей до 2030 года, II этап (2025–2030 годы) : распоряжение Правительства Российской Федерации от 01.07.2025 № 1745-р. — Текст : электронный. — URL: </w:t>
      </w:r>
      <w:hyperlink r:id="rIdL5" w:history="1">
        <w:r>
          <w:rPr>
            <w:rStyle w:val="Hyperlink"/>
          </w:rPr>
          <w:t xml:space="preserve">https://rulaws.ru/goverment/Rasporyazhenie-Pravitelstva-RF-ot-01.07.2025-N-1745-r/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5) </w:t>
      </w:r>
      <w:r>
        <w:t xml:space="preserve">О направлении информации (вместе с Методическими рекомендациями по разработке дополнительных общеразвивающих программ, в том числе в части интеграции с учебными предметами «Труд (технология)», «Музыка», «Изобразительное искусство», «Физическая культура») : письмо Министерства просвещения Российской Федерации от 23.01.2026 № АБ-254/06. — Текст : электронный. — URL: </w:t>
      </w:r>
      <w:hyperlink r:id="rIdL6" w:history="1">
        <w:r>
          <w:rPr>
            <w:rStyle w:val="Hyperlink"/>
          </w:rPr>
          <w:t xml:space="preserve">https://www.informio.ru/update/suz/66391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6) </w:t>
      </w:r>
      <w:r>
        <w:t xml:space="preserve">Об утверждении СП 2.4.2.4283-26 «Санитарно-эпидемиологические требования к организациям воспитания и обучения, отдыха и оздоровления детей и молодежи» : постановление Главного государственного санитарного врача Российской Федерации от 02.06.2026 № 19. — Текст : электронный. — URL: </w:t>
      </w:r>
      <w:hyperlink r:id="rIdL7" w:history="1">
        <w:r>
          <w:rPr>
            <w:rStyle w:val="Hyperlink"/>
          </w:rPr>
          <w:t xml:space="preserve">https://www.consultant.ru/document/cons_doc_LAW_535857/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7) </w:t>
      </w:r>
      <w:r>
        <w:t xml:space="preserve">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 : постановление Главного государственного санитарного врача Российской Федерации от 28.01.2021 № 2. — Текст : электронный. — URL: </w:t>
      </w:r>
      <w:hyperlink r:id="rIdL8" w:history="1">
        <w:r>
          <w:rPr>
            <w:rStyle w:val="Hyperlink"/>
          </w:rPr>
          <w:t xml:space="preserve">https://www.consultant.ru/document/cons_doc_LAW_375839/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8) </w:t>
      </w:r>
      <w:r>
        <w:t xml:space="preserve">Об утверждении профессионального стандарта «Педагог дополнительного образования детей и взрослых» : приказ Министерства труда и социальной защиты Российской Федерации от 22.09.2021 № 652н. — Текст : электронный.</w:t>
      </w:r>
    </w:p>
    <w:p>
      <w:pPr>
        <w:pStyle w:val="Heading2"/>
      </w:pPr>
      <w:r>
        <w:t xml:space="preserve">Интернет-источники</w:t>
      </w:r>
    </w:p>
    <w:p>
      <w:pPr>
        <w:pStyle w:val="KpList"/>
      </w:pPr>
      <w:r>
        <w:t xml:space="preserve">1) </w:t>
      </w:r>
      <w:r>
        <w:t xml:space="preserve">VEX Robotics : официальный сайт производителя. — Текст : электронный. — URL: </w:t>
      </w:r>
      <w:hyperlink r:id="rIdL9" w:history="1">
        <w:r>
          <w:rPr>
            <w:rStyle w:val="Hyperlink"/>
          </w:rPr>
          <w:t xml:space="preserve">https://www.vexrobotics.com/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2) </w:t>
      </w:r>
      <w:r>
        <w:t xml:space="preserve">Методические рекомендации по разработке и реализации раздела о воспитании в составе дополнительной общеобразовательной общеразвивающей программы / ФГБНУ «Институт изучения детства, семьи и воспитания». — Текст : электронный. — URL: </w:t>
      </w:r>
      <w:hyperlink r:id="rIdL10" w:history="1">
        <w:r>
          <w:rPr>
            <w:rStyle w:val="Hyperlink"/>
          </w:rPr>
          <w:t xml:space="preserve">https://xn--80adrabb4aegksdjbafk0u.xn--p1ai/upload/iblock/da2/jnpcgff0oeer1hvl28kk500zy2z9kv6c.pdf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3) </w:t>
      </w:r>
      <w:r>
        <w:t xml:space="preserve">Олимпиады и иные интеллектуальные и (или) творческие конкурсы : раздел сайта Министерства просвещения Российской Федерации. — Текст : электронный. — URL: </w:t>
      </w:r>
      <w:hyperlink r:id="rIdL11" w:history="1">
        <w:r>
          <w:rPr>
            <w:rStyle w:val="Hyperlink"/>
          </w:rPr>
          <w:t xml:space="preserve">https://edu.gov.ru/activity/main_activities/olympiads/</w:t>
        </w:r>
      </w:hyperlink>
      <w:r>
        <w:t xml:space="preserve"> (дата обращения: 07.11.2026).</w:t>
      </w:r>
    </w:p>
    <w:p>
      <w:pPr>
        <w:pStyle w:val="KpList"/>
      </w:pPr>
      <w:r>
        <w:t xml:space="preserve">4) </w:t>
      </w:r>
      <w:r>
        <w:t xml:space="preserve">228-8899-10 VEX IQ Набор Супер Кит/Super Kit (2-е поколение Gen 2) : описание, комплектация и характеристики. — Текст : электронный. — URL: </w:t>
      </w:r>
      <w:hyperlink r:id="rIdL1" w:history="1">
        <w:r>
          <w:rPr>
            <w:rStyle w:val="Hyperlink"/>
          </w:rPr>
          <w:t xml:space="preserve">https://классробототехники.рф/product/228-8899-10-vex-iq-nabor-super-kit-super-kit-2-e-pokolenie-g-0162d7/</w:t>
        </w:r>
      </w:hyperlink>
      <w:r>
        <w:t xml:space="preserve"> (дата обращения: 07.11.2026).</w:t>
      </w:r>
    </w:p>
    <w:p>
      <w:pPr>
        <w:pStyle w:val="KpBody"/>
      </w:pPr>
      <w:r>
        <w:t xml:space="preserve">Список дополняется учебными и методическими пособиями, которые использует педагог; оформление — по ГОСТ Р 7.0.100–2018.</w:t>
      </w:r>
    </w:p>
    <w:sectPr>
      <w:footerReference w:type="default" r:id="rIdF"/>
      <w:pgSz w:w="11906" w:h="16838"/>
      <w:pgMar w:top="1134" w:right="850" w:bottom="1134" w:left="1701" w:header="709" w:footer="709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settings.xml><?xml version="1.0" encoding="utf-8"?>
<w:settings xmlns:w="http://schemas.openxmlformats.org/wordprocessingml/2006/main">
  <w:updateFields w:val="true"/>
  <w:defaultTabStop w:val="709"/>
  <w:characterSpacingControl w:val="doNotCompress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ru-RU" w:eastAsia="ru-RU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ing1">
    <w:name w:val="heading 1"/>
    <w:basedOn w:val="Normal"/>
    <w:next w:val="KpBody"/>
    <w:qFormat/>
    <w:pPr>
      <w:keepNext/>
      <w:keepLines/>
      <w:spacing w:before="360" w:after="240"/>
      <w:jc w:val="center"/>
      <w:outlineLvl w:val="0"/>
    </w:pPr>
    <w:rPr>
      <w:b/>
      <w:caps/>
      <w:sz w:val="28"/>
      <w:szCs w:val="28"/>
    </w:rPr>
  </w:style>
  <w:style w:type="paragraph" w:styleId="Heading2">
    <w:name w:val="heading 2"/>
    <w:basedOn w:val="Normal"/>
    <w:next w:val="KpBody"/>
    <w:qFormat/>
    <w:pPr>
      <w:keepNext/>
      <w:keepLines/>
      <w:spacing w:before="240" w:after="120"/>
      <w:outlineLvl w:val="1"/>
    </w:pPr>
    <w:rPr>
      <w:b/>
      <w:sz w:val="24"/>
    </w:rPr>
  </w:style>
  <w:style w:type="paragraph" w:styleId="Heading3">
    <w:name w:val="heading 3"/>
    <w:basedOn w:val="Normal"/>
    <w:next w:val="KpBody"/>
    <w:qFormat/>
    <w:pPr>
      <w:keepNext/>
      <w:keepLines/>
      <w:spacing w:before="200" w:after="80"/>
      <w:outlineLvl w:val="2"/>
    </w:pPr>
    <w:rPr>
      <w:b/>
      <w:i/>
    </w:rPr>
  </w:style>
  <w:style w:type="paragraph" w:customStyle="1" w:styleId="KpBody">
    <w:name w:val="Текст программы"/>
    <w:basedOn w:val="Normal"/>
    <w:qFormat/>
    <w:pPr>
      <w:spacing w:after="80"/>
      <w:ind w:firstLine="709"/>
      <w:jc w:val="both"/>
    </w:pPr>
  </w:style>
  <w:style w:type="paragraph" w:customStyle="1" w:styleId="KpList">
    <w:name w:val="Список программы"/>
    <w:basedOn w:val="Normal"/>
    <w:pPr>
      <w:spacing w:after="40"/>
      <w:ind w:left="1003" w:hanging="294"/>
    </w:pPr>
  </w:style>
  <w:style w:type="paragraph" w:customStyle="1" w:styleId="KpCell">
    <w:name w:val="Текст таблицы"/>
    <w:basedOn w:val="Normal"/>
    <w:pPr>
      <w:spacing w:after="0" w:line="240" w:lineRule="auto"/>
    </w:pPr>
    <w:rPr>
      <w:sz w:val="22"/>
      <w:szCs w:val="22"/>
    </w:rPr>
  </w:style>
  <w:style w:type="paragraph" w:customStyle="1" w:styleId="KpTocHead">
    <w:name w:val="Заголовок оглавления"/>
    <w:basedOn w:val="Normal"/>
    <w:pPr>
      <w:spacing w:after="240"/>
      <w:jc w:val="center"/>
    </w:pPr>
    <w:rPr>
      <w:b/>
      <w:caps/>
      <w:sz w:val="28"/>
    </w:rPr>
  </w:style>
  <w:style w:type="paragraph" w:styleId="TOC1">
    <w:name w:val="toc 1"/>
    <w:basedOn w:val="Normal"/>
    <w:next w:val="Normal"/>
    <w:pPr>
      <w:tabs>
        <w:tab w:val="right" w:leader="dot" w:pos="9345"/>
      </w:tabs>
      <w:spacing w:after="80"/>
    </w:pPr>
  </w:style>
  <w:style w:type="character" w:styleId="Hyperlink">
    <w:name w:val="Hyperlink"/>
    <w:rPr>
      <w:color w:val="0563C1"/>
      <w:u w:val="single"/>
    </w:rPr>
  </w:style>
  <w:style w:type="table" w:customStyle="1" w:styleId="KpTable">
    <w:name w:val="Таблица программы"/>
    <w:tblPr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40" w:type="dxa"/>
        <w:left w:w="80" w:type="dxa"/>
        <w:bottom w:w="40" w:type="dxa"/>
        <w:right w:w="80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" Type="http://schemas.openxmlformats.org/officeDocument/2006/relationships/styles" Target="styles.xml"/><Relationship Id="rIdT" Type="http://schemas.openxmlformats.org/officeDocument/2006/relationships/settings" Target="settings.xml"/><Relationship Id="rIdF" Type="http://schemas.openxmlformats.org/officeDocument/2006/relationships/footer" Target="footer1.xml"/><Relationship Id="rIdL1" Type="http://schemas.openxmlformats.org/officeDocument/2006/relationships/hyperlink" Target="https://xn--80acmmahedvhbawnaub9c.xn--p1ai/product/228-8899-10-vex-iq-nabor-super-kit-super-kit-2-e-pokolenie-g-0162d7/" TargetMode="External"/><Relationship Id="rIdL2" Type="http://schemas.openxmlformats.org/officeDocument/2006/relationships/hyperlink" Target="https://www.consultant.ru/document/cons_doc_LAW_140174/" TargetMode="External"/><Relationship Id="rIdL3" Type="http://schemas.openxmlformats.org/officeDocument/2006/relationships/hyperlink" Target="https://www.consultant.ru/document/cons_doc_LAW_427531/" TargetMode="External"/><Relationship Id="rIdL4" Type="http://schemas.openxmlformats.org/officeDocument/2006/relationships/hyperlink" Target="https://www.garant.ru/products/ipo/prime/doc/403709682/" TargetMode="External"/><Relationship Id="rIdL5" Type="http://schemas.openxmlformats.org/officeDocument/2006/relationships/hyperlink" Target="https://rulaws.ru/goverment/Rasporyazhenie-Pravitelstva-RF-ot-01.07.2025-N-1745-r/" TargetMode="External"/><Relationship Id="rIdL6" Type="http://schemas.openxmlformats.org/officeDocument/2006/relationships/hyperlink" Target="https://www.informio.ru/update/suz/66391" TargetMode="External"/><Relationship Id="rIdL7" Type="http://schemas.openxmlformats.org/officeDocument/2006/relationships/hyperlink" Target="https://www.consultant.ru/document/cons_doc_LAW_535857/" TargetMode="External"/><Relationship Id="rIdL8" Type="http://schemas.openxmlformats.org/officeDocument/2006/relationships/hyperlink" Target="https://www.consultant.ru/document/cons_doc_LAW_375839/" TargetMode="External"/><Relationship Id="rIdL9" Type="http://schemas.openxmlformats.org/officeDocument/2006/relationships/hyperlink" Target="https://www.vexrobotics.com/" TargetMode="External"/><Relationship Id="rIdL10" Type="http://schemas.openxmlformats.org/officeDocument/2006/relationships/hyperlink" Target="https://xn--80adrabb4aegksdjbafk0u.xn--p1ai/upload/iblock/da2/jnpcgff0oeer1hvl28kk500zy2z9kv6c.pdf" TargetMode="External"/><Relationship Id="rIdL11" Type="http://schemas.openxmlformats.org/officeDocument/2006/relationships/hyperlink" Target="https://edu.gov.ru/activity/main_activities/olympiads/" TargetMode="External"/></Relationships>
</file>

<file path=docProps/app.xml><?xml version="1.0" encoding="utf-8"?>
<Properties xmlns="http://schemas.openxmlformats.org/officeDocument/2006/extended-properties">
  <Application>Конструктор программ классробототехники.рф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Дополнительная общеобразовательная общеразвивающая программа технической направленности «Основы робототехники»</dc:title>
  <dc:subject>Дополнительная общеобразовательная общеразвивающая программа технической направленности</dc:subject>
  <dc:creator>Конструктор программ — классробототехники.рф</dc:creator>
  <dc:description>Черновик программы: её рассматривает педагогический (методический) совет и утверждает руководитель организации.</dc:description>
  <dc:language>ru-RU</dc:language>
  <dcterms:created xsi:type="dcterms:W3CDTF">2026-11-08T10:22:35Z</dcterms:created>
  <dcterms:modified xsi:type="dcterms:W3CDTF">2026-11-08T10:22:35Z</dcterms:modified>
</cp:coreProperties>
</file>